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exact" w:line="560"/>
        <w:jc w:val="center"/>
        <w:rPr>
          <w:rFonts w:ascii="方正小标宋简体" w:cs="方正小标宋简体" w:eastAsia="方正小标宋简体"/>
          <w:b/>
          <w:sz w:val="40"/>
          <w:szCs w:val="40"/>
        </w:rPr>
      </w:pPr>
      <w:r>
        <w:rPr>
          <w:rFonts w:ascii="方正小标宋简体" w:cs="方正小标宋简体" w:eastAsia="方正小标宋简体" w:hint="eastAsia"/>
          <w:b/>
          <w:sz w:val="40"/>
          <w:szCs w:val="40"/>
        </w:rPr>
        <w:t>2018年阿克苏地区温宿县面向内地高校招聘教师简章</w:t>
      </w:r>
      <w:bookmarkStart w:id="0" w:name="_GoBack"/>
      <w:bookmarkEnd w:id="0"/>
    </w:p>
    <w:p>
      <w:pPr>
        <w:pStyle w:val="style0"/>
        <w:rPr>
          <w:rFonts w:ascii="黑体" w:cs="黑体" w:eastAsia="黑体"/>
          <w:b/>
          <w:w w:val="85"/>
          <w:sz w:val="32"/>
          <w:szCs w:val="32"/>
        </w:rPr>
      </w:pPr>
      <w:r>
        <w:rPr>
          <w:rFonts w:ascii="黑体" w:cs="黑体" w:eastAsia="黑体" w:hint="eastAsia"/>
          <w:b/>
          <w:w w:val="85"/>
          <w:sz w:val="32"/>
          <w:szCs w:val="32"/>
        </w:rPr>
        <w:t>一、招聘条件</w:t>
      </w:r>
    </w:p>
    <w:p>
      <w:pPr>
        <w:pStyle w:val="style0"/>
        <w:spacing w:lineRule="exact" w:line="560"/>
        <w:ind w:firstLine="540" w:firstLineChars="200"/>
        <w:rPr>
          <w:rFonts w:ascii="仿宋_GB2312" w:cs="仿宋_GB2312" w:eastAsia="仿宋_GB2312"/>
          <w:w w:val="85"/>
          <w:sz w:val="32"/>
          <w:szCs w:val="32"/>
        </w:rPr>
      </w:pPr>
      <w:r>
        <w:rPr>
          <w:rFonts w:ascii="仿宋_GB2312" w:cs="仿宋_GB2312" w:eastAsia="仿宋_GB2312" w:hint="eastAsia"/>
          <w:w w:val="85"/>
          <w:sz w:val="32"/>
          <w:szCs w:val="32"/>
        </w:rPr>
        <w:t>以内地中专、高职、大专、师范类院校、综合院校且专业为学前幼儿教育专业的中专、大专、本科学历毕业生为主，吸引内地籍毕业生来温宿县就业。应聘人员应符合以下条件：</w:t>
      </w:r>
    </w:p>
    <w:p>
      <w:pPr>
        <w:pStyle w:val="style0"/>
        <w:widowControl/>
        <w:shd w:val="clear" w:color="auto" w:fill="ffffff"/>
        <w:tabs>
          <w:tab w:val="left" w:leader="none" w:pos="527"/>
          <w:tab w:val="left" w:leader="none" w:pos="581"/>
        </w:tabs>
        <w:snapToGrid w:val="false"/>
        <w:spacing w:lineRule="exact" w:line="600"/>
        <w:ind w:firstLine="640" w:firstLineChars="200"/>
        <w:rPr>
          <w:rFonts w:ascii="仿宋_GB2312" w:cs="仿宋_GB2312" w:eastAsia="仿宋_GB2312" w:hAnsi="宋体"/>
          <w:snapToGrid w:val="false"/>
          <w:kern w:val="0"/>
          <w:sz w:val="32"/>
          <w:szCs w:val="32"/>
        </w:rPr>
      </w:pPr>
      <w:r>
        <w:rPr>
          <w:rFonts w:ascii="仿宋_GB2312" w:cs="仿宋_GB2312" w:eastAsia="仿宋_GB2312" w:hAnsi="宋体" w:hint="eastAsia"/>
          <w:snapToGrid w:val="false"/>
          <w:kern w:val="0"/>
          <w:sz w:val="32"/>
          <w:szCs w:val="32"/>
        </w:rPr>
        <w:t>1.</w:t>
      </w:r>
      <w:r>
        <w:rPr>
          <w:rFonts w:ascii="仿宋_GB2312" w:eastAsia="仿宋_GB2312" w:hint="eastAsia"/>
          <w:sz w:val="32"/>
          <w:szCs w:val="32"/>
        </w:rPr>
        <w:t>具有中华人民共和国国籍。</w:t>
      </w:r>
    </w:p>
    <w:p>
      <w:pPr>
        <w:pStyle w:val="style0"/>
        <w:widowControl/>
        <w:shd w:val="clear" w:color="auto" w:fill="ffffff"/>
        <w:snapToGrid w:val="false"/>
        <w:spacing w:lineRule="exact" w:line="600"/>
        <w:ind w:firstLine="640" w:firstLineChars="200"/>
        <w:rPr>
          <w:rFonts w:ascii="仿宋_GB2312" w:cs="仿宋_GB2312" w:eastAsia="仿宋_GB2312" w:hAnsi="宋体"/>
          <w:snapToGrid w:val="false"/>
          <w:kern w:val="0"/>
          <w:sz w:val="32"/>
          <w:szCs w:val="32"/>
        </w:rPr>
      </w:pPr>
      <w:r>
        <w:rPr>
          <w:rFonts w:ascii="仿宋_GB2312" w:cs="仿宋_GB2312" w:eastAsia="仿宋_GB2312" w:hAnsi="宋体" w:hint="eastAsia"/>
          <w:snapToGrid w:val="false"/>
          <w:kern w:val="0"/>
          <w:sz w:val="32"/>
          <w:szCs w:val="32"/>
        </w:rPr>
        <w:t>2.政治思想</w:t>
      </w:r>
      <w:r>
        <w:rPr>
          <w:rFonts w:ascii="仿宋_GB2312" w:eastAsia="仿宋_GB2312" w:hint="eastAsia"/>
          <w:snapToGrid w:val="false"/>
          <w:kern w:val="0"/>
          <w:sz w:val="32"/>
          <w:szCs w:val="32"/>
        </w:rPr>
        <w:t>素质好，热爱祖国，拥护中国共产党的领导，自觉维护民族团结，品行端正，志愿从事教育工作。</w:t>
      </w:r>
    </w:p>
    <w:p>
      <w:pPr>
        <w:pStyle w:val="style0"/>
        <w:widowControl/>
        <w:shd w:val="clear" w:color="auto" w:fill="ffffff"/>
        <w:snapToGrid w:val="false"/>
        <w:spacing w:lineRule="exact" w:line="600"/>
        <w:ind w:firstLine="640" w:firstLineChars="200"/>
        <w:rPr>
          <w:rFonts w:ascii="仿宋_GB2312" w:eastAsia="仿宋_GB2312"/>
          <w:snapToGrid w:val="false"/>
          <w:kern w:val="0"/>
          <w:sz w:val="32"/>
          <w:szCs w:val="32"/>
        </w:rPr>
      </w:pPr>
      <w:r>
        <w:rPr>
          <w:rFonts w:ascii="仿宋_GB2312" w:eastAsia="仿宋_GB2312" w:hint="eastAsia"/>
          <w:snapToGrid w:val="false"/>
          <w:kern w:val="0"/>
          <w:sz w:val="32"/>
          <w:szCs w:val="32"/>
        </w:rPr>
        <w:t>3.年龄在3</w:t>
      </w:r>
      <w:r>
        <w:rPr>
          <w:rFonts w:ascii="仿宋_GB2312" w:eastAsia="仿宋_GB2312"/>
          <w:snapToGrid w:val="false"/>
          <w:kern w:val="0"/>
          <w:sz w:val="32"/>
          <w:szCs w:val="32"/>
        </w:rPr>
        <w:t>0</w:t>
      </w:r>
      <w:r>
        <w:rPr>
          <w:rFonts w:ascii="仿宋_GB2312" w:cs="仿宋_GB2312" w:eastAsia="仿宋_GB2312" w:hAnsi="宋体" w:hint="eastAsia"/>
          <w:snapToGrid w:val="false"/>
          <w:kern w:val="0"/>
          <w:sz w:val="32"/>
          <w:szCs w:val="32"/>
        </w:rPr>
        <w:t>周岁及以</w:t>
      </w:r>
      <w:r>
        <w:rPr>
          <w:rFonts w:ascii="仿宋_GB2312" w:eastAsia="仿宋_GB2312" w:hint="eastAsia"/>
          <w:snapToGrid w:val="false"/>
          <w:kern w:val="0"/>
          <w:sz w:val="32"/>
          <w:szCs w:val="32"/>
        </w:rPr>
        <w:t>下（198</w:t>
      </w:r>
      <w:r>
        <w:rPr>
          <w:rFonts w:ascii="仿宋_GB2312" w:eastAsia="仿宋_GB2312"/>
          <w:snapToGrid w:val="false"/>
          <w:kern w:val="0"/>
          <w:sz w:val="32"/>
          <w:szCs w:val="32"/>
        </w:rPr>
        <w:t>8</w:t>
      </w:r>
      <w:r>
        <w:rPr>
          <w:rFonts w:ascii="仿宋_GB2312" w:eastAsia="仿宋_GB2312" w:hint="eastAsia"/>
          <w:snapToGrid w:val="false"/>
          <w:kern w:val="0"/>
          <w:sz w:val="32"/>
          <w:szCs w:val="32"/>
        </w:rPr>
        <w:t>年1月1日及以后出生）。</w:t>
      </w:r>
    </w:p>
    <w:p>
      <w:pPr>
        <w:pStyle w:val="style0"/>
        <w:widowControl/>
        <w:shd w:val="clear" w:color="auto" w:fill="ffffff"/>
        <w:snapToGrid w:val="false"/>
        <w:spacing w:lineRule="exact" w:line="600"/>
        <w:ind w:firstLine="640" w:firstLineChars="200"/>
        <w:rPr>
          <w:rFonts w:ascii="仿宋_GB2312" w:eastAsia="仿宋_GB2312"/>
          <w:snapToGrid w:val="false"/>
          <w:kern w:val="0"/>
          <w:sz w:val="32"/>
          <w:szCs w:val="32"/>
        </w:rPr>
      </w:pPr>
      <w:r>
        <w:rPr>
          <w:rFonts w:ascii="仿宋_GB2312" w:eastAsia="仿宋_GB2312" w:hint="eastAsia"/>
          <w:snapToGrid w:val="false"/>
          <w:kern w:val="0"/>
          <w:sz w:val="32"/>
          <w:szCs w:val="32"/>
        </w:rPr>
        <w:t>4.身体健康，具有良好的心理素质，适应教育教学工作的需要。</w:t>
      </w:r>
    </w:p>
    <w:p>
      <w:pPr>
        <w:pStyle w:val="style0"/>
        <w:widowControl/>
        <w:shd w:val="clear" w:color="auto" w:fill="ffffff"/>
        <w:snapToGrid w:val="false"/>
        <w:spacing w:lineRule="exact" w:line="600"/>
        <w:ind w:firstLine="640" w:firstLineChars="200"/>
        <w:rPr>
          <w:rFonts w:ascii="仿宋_GB2312" w:eastAsia="仿宋_GB2312"/>
          <w:snapToGrid w:val="false"/>
          <w:kern w:val="0"/>
          <w:sz w:val="32"/>
          <w:szCs w:val="32"/>
        </w:rPr>
      </w:pPr>
      <w:r>
        <w:rPr>
          <w:rFonts w:ascii="仿宋_GB2312" w:eastAsia="仿宋_GB2312" w:hint="eastAsia"/>
          <w:snapToGrid w:val="false"/>
          <w:kern w:val="0"/>
          <w:sz w:val="32"/>
          <w:szCs w:val="32"/>
        </w:rPr>
        <w:t>5.招聘岗位专业学历要求：</w:t>
      </w:r>
    </w:p>
    <w:p>
      <w:pPr>
        <w:pStyle w:val="style0"/>
        <w:widowControl/>
        <w:shd w:val="clear" w:color="auto" w:fill="ffffff"/>
        <w:snapToGrid w:val="false"/>
        <w:spacing w:lineRule="exact" w:line="600"/>
        <w:ind w:firstLine="640" w:firstLineChars="200"/>
        <w:rPr>
          <w:rFonts w:ascii="仿宋_GB2312" w:eastAsia="仿宋_GB2312"/>
          <w:snapToGrid w:val="false"/>
          <w:kern w:val="0"/>
          <w:sz w:val="32"/>
          <w:szCs w:val="32"/>
        </w:rPr>
      </w:pPr>
      <w:r>
        <w:rPr>
          <w:rFonts w:ascii="仿宋_GB2312" w:eastAsia="仿宋_GB2312" w:hint="eastAsia"/>
          <w:snapToGrid w:val="false"/>
          <w:kern w:val="0"/>
          <w:sz w:val="32"/>
          <w:szCs w:val="32"/>
        </w:rPr>
        <w:t>（1）专业要求：详见《2018年新疆维吾尔自治区中小学和幼儿园教师招聘考试专业目录》；</w:t>
      </w:r>
    </w:p>
    <w:p>
      <w:pPr>
        <w:pStyle w:val="style0"/>
        <w:widowControl/>
        <w:shd w:val="clear" w:color="auto" w:fill="ffffff"/>
        <w:snapToGrid w:val="false"/>
        <w:spacing w:lineRule="exact" w:line="600"/>
        <w:ind w:firstLine="640" w:firstLineChars="200"/>
        <w:rPr>
          <w:rFonts w:ascii="仿宋_GB2312" w:eastAsia="仿宋_GB2312"/>
          <w:snapToGrid w:val="false"/>
          <w:kern w:val="0"/>
          <w:sz w:val="32"/>
          <w:szCs w:val="32"/>
        </w:rPr>
      </w:pPr>
      <w:r>
        <w:rPr>
          <w:rFonts w:ascii="仿宋_GB2312" w:eastAsia="仿宋_GB2312" w:hint="eastAsia"/>
          <w:snapToGrid w:val="false"/>
          <w:kern w:val="0"/>
          <w:sz w:val="32"/>
          <w:szCs w:val="32"/>
        </w:rPr>
        <w:t>（2）学历要求：学前阶段要求全日制中专及以上学历；小学阶段要求全日制大专及以上学历；初中阶段要求全日制本科及以上学历；</w:t>
      </w:r>
    </w:p>
    <w:p>
      <w:pPr>
        <w:pStyle w:val="style0"/>
        <w:widowControl/>
        <w:shd w:val="clear" w:color="auto" w:fill="ffffff"/>
        <w:snapToGrid w:val="false"/>
        <w:spacing w:lineRule="exact" w:line="600"/>
        <w:ind w:firstLine="640" w:firstLineChars="200"/>
        <w:rPr>
          <w:rFonts w:ascii="仿宋_GB2312" w:eastAsia="仿宋_GB2312"/>
          <w:bCs/>
          <w:snapToGrid w:val="false"/>
          <w:kern w:val="0"/>
          <w:sz w:val="32"/>
          <w:szCs w:val="32"/>
        </w:rPr>
      </w:pPr>
      <w:r>
        <w:rPr>
          <w:rFonts w:ascii="仿宋_GB2312" w:eastAsia="仿宋_GB2312" w:hint="eastAsia"/>
          <w:bCs/>
          <w:snapToGrid w:val="false"/>
          <w:kern w:val="0"/>
          <w:sz w:val="32"/>
          <w:szCs w:val="32"/>
        </w:rPr>
        <w:t>（3）村级幼儿园、村级小学、教学点招聘岗位允许成人高等教育全日制脱产本、专科相应专业毕业生（包括自学考试的汉语言文学、英语、小学教育、义务教育和教育学专业毕业生）报考。</w:t>
      </w:r>
    </w:p>
    <w:p>
      <w:pPr>
        <w:pStyle w:val="style0"/>
        <w:widowControl/>
        <w:shd w:val="clear" w:color="auto" w:fill="ffffff"/>
        <w:snapToGrid w:val="false"/>
        <w:spacing w:lineRule="exact" w:line="600"/>
        <w:ind w:firstLine="640" w:firstLineChars="200"/>
        <w:rPr>
          <w:rFonts w:ascii="仿宋_GB2312" w:eastAsia="仿宋_GB2312"/>
          <w:snapToGrid w:val="false"/>
          <w:kern w:val="0"/>
          <w:sz w:val="32"/>
          <w:szCs w:val="32"/>
        </w:rPr>
      </w:pPr>
      <w:r>
        <w:rPr>
          <w:rFonts w:ascii="仿宋_GB2312" w:eastAsia="仿宋_GB2312" w:hint="eastAsia"/>
          <w:snapToGrid w:val="false"/>
          <w:kern w:val="0"/>
          <w:sz w:val="32"/>
          <w:szCs w:val="32"/>
        </w:rPr>
        <w:t>6.招聘岗位普通话水平要求：</w:t>
      </w:r>
    </w:p>
    <w:p>
      <w:pPr>
        <w:pStyle w:val="style0"/>
        <w:widowControl/>
        <w:shd w:val="clear" w:color="auto" w:fill="ffffff"/>
        <w:snapToGrid w:val="false"/>
        <w:spacing w:lineRule="exact" w:line="600"/>
        <w:ind w:firstLine="640" w:firstLineChars="200"/>
        <w:rPr>
          <w:rFonts w:ascii="仿宋_GB2312" w:eastAsia="仿宋_GB2312"/>
          <w:snapToGrid w:val="false"/>
          <w:kern w:val="0"/>
          <w:sz w:val="32"/>
          <w:szCs w:val="32"/>
        </w:rPr>
      </w:pPr>
      <w:r>
        <w:rPr>
          <w:rFonts w:ascii="仿宋_GB2312" w:eastAsia="仿宋_GB2312" w:hint="eastAsia"/>
          <w:snapToGrid w:val="false"/>
          <w:kern w:val="0"/>
          <w:sz w:val="32"/>
          <w:szCs w:val="32"/>
        </w:rPr>
        <w:t>报考人员，普通话水平须达到二级乙等及以上标准；报考“语文”学科人员，普通话水平须达到二级甲等及以上标准。</w:t>
      </w:r>
    </w:p>
    <w:p>
      <w:pPr>
        <w:pStyle w:val="style0"/>
        <w:widowControl/>
        <w:shd w:val="clear" w:color="auto" w:fill="ffffff"/>
        <w:snapToGrid w:val="false"/>
        <w:spacing w:lineRule="exact" w:line="600"/>
        <w:ind w:firstLine="640" w:firstLineChars="200"/>
        <w:rPr>
          <w:rFonts w:ascii="仿宋_GB2312" w:eastAsia="仿宋_GB2312"/>
          <w:snapToGrid w:val="false"/>
          <w:kern w:val="0"/>
          <w:sz w:val="32"/>
          <w:szCs w:val="32"/>
        </w:rPr>
      </w:pPr>
      <w:r>
        <w:rPr>
          <w:rFonts w:ascii="仿宋_GB2312" w:eastAsia="仿宋_GB2312" w:hint="eastAsia"/>
          <w:snapToGrid w:val="false"/>
          <w:kern w:val="0"/>
          <w:sz w:val="32"/>
          <w:szCs w:val="32"/>
        </w:rPr>
        <w:t>7.招聘岗位教师资格要求：</w:t>
      </w:r>
    </w:p>
    <w:p>
      <w:pPr>
        <w:pStyle w:val="style0"/>
        <w:widowControl/>
        <w:shd w:val="clear" w:color="auto" w:fill="ffffff"/>
        <w:snapToGrid w:val="false"/>
        <w:spacing w:lineRule="exact" w:line="600"/>
        <w:ind w:firstLine="640" w:firstLineChars="200"/>
        <w:rPr>
          <w:rFonts w:ascii="仿宋_GB2312" w:eastAsia="仿宋_GB2312"/>
          <w:snapToGrid w:val="false"/>
          <w:kern w:val="0"/>
          <w:sz w:val="32"/>
          <w:szCs w:val="32"/>
        </w:rPr>
      </w:pPr>
      <w:r>
        <w:rPr>
          <w:rFonts w:ascii="仿宋_GB2312" w:eastAsia="仿宋_GB2312" w:hint="eastAsia"/>
          <w:snapToGrid w:val="false"/>
          <w:kern w:val="0"/>
          <w:sz w:val="32"/>
          <w:szCs w:val="32"/>
        </w:rPr>
        <w:t>（1）考生须具备招聘岗位要求的相应层次教师资格证书或教师资格认定条件；</w:t>
      </w:r>
    </w:p>
    <w:p>
      <w:pPr>
        <w:pStyle w:val="style0"/>
        <w:widowControl/>
        <w:shd w:val="clear" w:color="auto" w:fill="ffffff"/>
        <w:snapToGrid w:val="false"/>
        <w:spacing w:lineRule="exact" w:line="600"/>
        <w:ind w:firstLine="640" w:firstLineChars="200"/>
        <w:rPr>
          <w:rFonts w:ascii="仿宋_GB2312" w:eastAsia="仿宋_GB2312"/>
          <w:bCs/>
          <w:snapToGrid w:val="false"/>
          <w:kern w:val="0"/>
          <w:sz w:val="32"/>
          <w:szCs w:val="32"/>
        </w:rPr>
      </w:pPr>
      <w:r>
        <w:rPr>
          <w:rFonts w:ascii="仿宋_GB2312" w:eastAsia="仿宋_GB2312" w:hint="eastAsia"/>
          <w:bCs/>
          <w:snapToGrid w:val="false"/>
          <w:kern w:val="0"/>
          <w:sz w:val="32"/>
          <w:szCs w:val="32"/>
        </w:rPr>
        <w:t>（2）历届毕业生必须有具备报考岗位要求的相应层次教师资格证书，2018年应届毕业生如无法提供报考岗位要求的相应层次教师资格证书，则必须具备教师资格认定条件，并在2018年9月正式上岗任教后一年内取得报考岗位要求的相应层次教师资格证书，未能按时取得的，解除聘用关系。</w:t>
      </w:r>
      <w:r>
        <w:rPr>
          <w:rFonts w:ascii="仿宋_GB2312" w:eastAsia="仿宋_GB2312" w:hint="eastAsia"/>
          <w:snapToGrid w:val="false"/>
          <w:kern w:val="0"/>
          <w:sz w:val="32"/>
          <w:szCs w:val="32"/>
        </w:rPr>
        <w:t>具备教师资格认定条件，指必须符合招聘岗位学历要求，同时普通话水平或汉语水平达到招聘对象的基本条件第6</w:t>
      </w:r>
      <w:r>
        <w:rPr>
          <w:rFonts w:ascii="仿宋_GB2312" w:eastAsia="仿宋_GB2312" w:hint="eastAsia"/>
          <w:snapToGrid w:val="false"/>
          <w:kern w:val="0"/>
          <w:sz w:val="32"/>
          <w:szCs w:val="32"/>
        </w:rPr>
        <w:t>条所列标准。</w:t>
      </w:r>
    </w:p>
    <w:p>
      <w:pPr>
        <w:pStyle w:val="style0"/>
        <w:widowControl/>
        <w:shd w:val="clear" w:color="auto" w:fill="ffffff"/>
        <w:snapToGrid w:val="false"/>
        <w:spacing w:lineRule="exact" w:line="600"/>
        <w:ind w:firstLine="640" w:firstLineChars="200"/>
        <w:rPr>
          <w:rFonts w:ascii="黑体" w:cs="黑体" w:eastAsia="黑体" w:hAnsi="黑体"/>
          <w:bCs/>
          <w:snapToGrid w:val="false"/>
          <w:kern w:val="0"/>
          <w:sz w:val="32"/>
          <w:szCs w:val="32"/>
        </w:rPr>
      </w:pPr>
      <w:r>
        <w:rPr>
          <w:rFonts w:ascii="黑体" w:cs="黑体" w:eastAsia="黑体" w:hAnsi="黑体" w:hint="eastAsia"/>
          <w:bCs/>
          <w:snapToGrid w:val="false"/>
          <w:kern w:val="0"/>
          <w:sz w:val="32"/>
          <w:szCs w:val="32"/>
        </w:rPr>
        <w:t>（3）对报考幼儿园岗位的大专及以上学历师范类专业历届毕业生的教师资格不做要求，但须在2018年9月正式上岗任教后一年内取得报考岗位要求的相应层次教师资格证书，未能按时取得的，解除聘用关系。</w:t>
      </w:r>
    </w:p>
    <w:p>
      <w:pPr>
        <w:pStyle w:val="style0"/>
        <w:widowControl/>
        <w:shd w:val="clear" w:color="auto" w:fill="ffffff"/>
        <w:snapToGrid w:val="false"/>
        <w:spacing w:lineRule="exact" w:line="600"/>
        <w:ind w:firstLine="640" w:firstLineChars="200"/>
        <w:rPr>
          <w:rFonts w:ascii="仿宋_GB2312" w:eastAsia="仿宋_GB2312"/>
          <w:snapToGrid w:val="false"/>
          <w:kern w:val="0"/>
          <w:sz w:val="32"/>
          <w:szCs w:val="32"/>
        </w:rPr>
      </w:pPr>
      <w:r>
        <w:rPr>
          <w:rFonts w:ascii="仿宋_GB2312" w:eastAsia="仿宋_GB2312" w:hint="eastAsia"/>
          <w:snapToGrid w:val="false"/>
          <w:kern w:val="0"/>
          <w:sz w:val="32"/>
          <w:szCs w:val="32"/>
        </w:rPr>
        <w:t>8.招聘岗位教师毕业证要求：</w:t>
      </w:r>
    </w:p>
    <w:p>
      <w:pPr>
        <w:pStyle w:val="style0"/>
        <w:widowControl/>
        <w:shd w:val="clear" w:color="auto" w:fill="ffffff"/>
        <w:snapToGrid w:val="false"/>
        <w:spacing w:lineRule="exact" w:line="600"/>
        <w:ind w:firstLine="640" w:firstLineChars="200"/>
        <w:rPr>
          <w:rFonts w:ascii="仿宋_GB2312" w:cs="宋体" w:eastAsia="仿宋_GB2312" w:hAnsi="Verdana"/>
          <w:kern w:val="0"/>
          <w:sz w:val="32"/>
          <w:szCs w:val="32"/>
        </w:rPr>
      </w:pPr>
      <w:r>
        <w:rPr>
          <w:rFonts w:ascii="仿宋_GB2312" w:eastAsia="仿宋_GB2312" w:hint="eastAsia"/>
          <w:snapToGrid w:val="false"/>
          <w:kern w:val="0"/>
          <w:sz w:val="32"/>
          <w:szCs w:val="32"/>
        </w:rPr>
        <w:t>（1）2018年应届生按2018年</w:t>
      </w:r>
      <w:r>
        <w:rPr>
          <w:rFonts w:ascii="仿宋_GB2312" w:eastAsia="仿宋_GB2312" w:hint="eastAsia"/>
          <w:snapToGrid w:val="false"/>
          <w:kern w:val="0"/>
          <w:sz w:val="32"/>
          <w:szCs w:val="32"/>
        </w:rPr>
        <w:t>正式上岗前</w:t>
      </w:r>
      <w:r>
        <w:rPr>
          <w:rFonts w:ascii="仿宋_GB2312" w:cs="宋体" w:eastAsia="仿宋_GB2312" w:hAnsi="Verdana" w:hint="eastAsia"/>
          <w:kern w:val="0"/>
          <w:sz w:val="32"/>
          <w:szCs w:val="32"/>
        </w:rPr>
        <w:t>拿到毕业证；</w:t>
      </w:r>
    </w:p>
    <w:p>
      <w:pPr>
        <w:pStyle w:val="style0"/>
        <w:widowControl/>
        <w:shd w:val="clear" w:color="auto" w:fill="ffffff"/>
        <w:snapToGrid w:val="false"/>
        <w:spacing w:lineRule="exact" w:line="600"/>
        <w:ind w:firstLine="640" w:firstLineChars="200"/>
        <w:rPr>
          <w:rFonts w:ascii="仿宋_GB2312" w:cs="宋体" w:eastAsia="仿宋_GB2312" w:hAnsi="Verdana"/>
          <w:kern w:val="0"/>
          <w:sz w:val="32"/>
          <w:szCs w:val="32"/>
        </w:rPr>
      </w:pPr>
      <w:r>
        <w:rPr>
          <w:rFonts w:ascii="仿宋_GB2312" w:cs="宋体" w:eastAsia="仿宋_GB2312" w:hAnsi="Verdana" w:hint="eastAsia"/>
          <w:kern w:val="0"/>
          <w:sz w:val="32"/>
          <w:szCs w:val="32"/>
        </w:rPr>
        <w:t>（2）历届生必须要有毕业证</w:t>
      </w:r>
      <w:r>
        <w:rPr>
          <w:rFonts w:ascii="仿宋_GB2312" w:cs="宋体" w:eastAsia="仿宋_GB2312" w:hAnsi="Verdana"/>
          <w:kern w:val="0"/>
          <w:sz w:val="32"/>
          <w:szCs w:val="32"/>
        </w:rPr>
        <w:t>、教师资格证和普通话证。</w:t>
      </w:r>
    </w:p>
    <w:p>
      <w:pPr>
        <w:pStyle w:val="style0"/>
        <w:spacing w:lineRule="atLeast" w:line="560"/>
        <w:rPr>
          <w:b/>
        </w:rPr>
      </w:pPr>
      <w:r>
        <w:rPr>
          <w:rFonts w:ascii="黑体" w:cs="黑体" w:eastAsia="黑体" w:hint="eastAsia"/>
          <w:b/>
          <w:w w:val="85"/>
          <w:sz w:val="32"/>
          <w:szCs w:val="32"/>
        </w:rPr>
        <w:t>二、录用及待遇保障</w:t>
      </w:r>
    </w:p>
    <w:p>
      <w:pPr>
        <w:pStyle w:val="style0"/>
        <w:spacing w:lineRule="atLeast" w:line="560"/>
        <w:ind w:firstLine="640"/>
        <w:rPr>
          <w:rFonts w:ascii="仿宋_GB2312" w:cs="仿宋_GB2312" w:eastAsia="仿宋_GB2312"/>
          <w:w w:val="85"/>
          <w:sz w:val="32"/>
          <w:szCs w:val="32"/>
        </w:rPr>
      </w:pPr>
      <w:r>
        <w:rPr>
          <w:rFonts w:ascii="仿宋_GB2312" w:cs="仿宋_GB2312" w:eastAsia="仿宋_GB2312" w:hint="eastAsia"/>
          <w:b/>
          <w:w w:val="85"/>
          <w:sz w:val="32"/>
          <w:szCs w:val="32"/>
        </w:rPr>
        <w:t>1.录用</w:t>
      </w:r>
      <w:r>
        <w:rPr>
          <w:rFonts w:ascii="黑体" w:cs="黑体" w:eastAsia="黑体" w:hint="eastAsia"/>
          <w:w w:val="85"/>
          <w:sz w:val="32"/>
          <w:szCs w:val="32"/>
        </w:rPr>
        <w:t>及待遇</w:t>
      </w:r>
      <w:r>
        <w:rPr>
          <w:rFonts w:ascii="仿宋_GB2312" w:cs="仿宋_GB2312" w:eastAsia="仿宋_GB2312" w:hint="eastAsia"/>
          <w:w w:val="85"/>
          <w:sz w:val="32"/>
          <w:szCs w:val="32"/>
        </w:rPr>
        <w:t>。内地招聘教师均按照特岗教师模式执行，待遇同等，特岗教师，总工资按照本科7047元/月、大专6689元/月、中专6575元/月标准发放</w:t>
      </w:r>
      <w:r>
        <w:rPr>
          <w:rFonts w:ascii="仿宋_GB2312" w:cs="仿宋_GB2312" w:eastAsia="仿宋_GB2312" w:hint="eastAsia"/>
          <w:b/>
          <w:w w:val="85"/>
          <w:sz w:val="32"/>
          <w:szCs w:val="32"/>
        </w:rPr>
        <w:t>。</w:t>
      </w:r>
      <w:r>
        <w:rPr>
          <w:rFonts w:ascii="仿宋_GB2312" w:cs="仿宋_GB2312" w:eastAsia="仿宋_GB2312" w:hint="eastAsia"/>
          <w:w w:val="85"/>
          <w:sz w:val="32"/>
          <w:szCs w:val="32"/>
        </w:rPr>
        <w:t>录用并签订意向协议的学生，须参加2018年新疆维吾尔自治区</w:t>
      </w:r>
      <w:r>
        <w:rPr>
          <w:rFonts w:ascii="仿宋_GB2312" w:cs="仿宋_GB2312" w:eastAsia="仿宋_GB2312" w:hint="eastAsia"/>
          <w:w w:val="85"/>
          <w:sz w:val="32"/>
          <w:szCs w:val="32"/>
        </w:rPr>
        <w:t>面向社会公开招聘教师资格审查、面试、体检等活动，待正式录取三年特岗服务期满后，与用人单位</w:t>
      </w:r>
      <w:r>
        <w:rPr>
          <w:rFonts w:ascii="仿宋_GB2312" w:cs="仿宋_GB2312" w:eastAsia="仿宋_GB2312" w:hint="eastAsia"/>
          <w:snapToGrid w:val="false"/>
          <w:w w:val="85"/>
          <w:kern w:val="0"/>
          <w:sz w:val="32"/>
          <w:szCs w:val="32"/>
        </w:rPr>
        <w:t>签订聘用合同，确立聘用关系并</w:t>
      </w:r>
      <w:r>
        <w:rPr>
          <w:rFonts w:ascii="仿宋_GB2312" w:cs="仿宋_GB2312" w:eastAsia="仿宋_GB2312" w:hint="eastAsia"/>
          <w:w w:val="85"/>
          <w:sz w:val="32"/>
          <w:szCs w:val="32"/>
        </w:rPr>
        <w:t>统一办理自治区教师入编手续,三年特岗服务期间可享受与正式在编在岗教师一致待遇。如已签订意向协议学生未被自治区统一录取，安排在本地任教，2018年—2019年期间，按正式录用教师标准同等待遇。</w:t>
      </w:r>
    </w:p>
    <w:p>
      <w:pPr>
        <w:pStyle w:val="style0"/>
        <w:spacing w:lineRule="atLeast" w:line="560"/>
        <w:ind w:firstLine="640"/>
        <w:rPr>
          <w:rFonts w:ascii="仿宋_GB2312" w:cs="仿宋_GB2312" w:eastAsia="仿宋_GB2312"/>
          <w:b/>
          <w:w w:val="85"/>
          <w:sz w:val="32"/>
          <w:szCs w:val="32"/>
        </w:rPr>
      </w:pPr>
      <w:r>
        <w:rPr>
          <w:rFonts w:ascii="仿宋_GB2312" w:cs="仿宋_GB2312" w:eastAsia="仿宋_GB2312" w:hint="eastAsia"/>
          <w:b/>
          <w:w w:val="85"/>
          <w:sz w:val="32"/>
          <w:szCs w:val="32"/>
        </w:rPr>
        <w:t>2.住房保障。</w:t>
      </w:r>
    </w:p>
    <w:p>
      <w:pPr>
        <w:pStyle w:val="style0"/>
        <w:spacing w:lineRule="atLeast" w:line="560"/>
        <w:ind w:firstLine="640"/>
        <w:rPr/>
      </w:pPr>
      <w:r>
        <w:rPr>
          <w:rFonts w:ascii="仿宋_GB2312" w:cs="仿宋_GB2312" w:eastAsia="仿宋_GB2312" w:hint="eastAsia"/>
          <w:b/>
          <w:w w:val="85"/>
          <w:sz w:val="32"/>
          <w:szCs w:val="32"/>
        </w:rPr>
        <w:t>岗位在乡镇的，</w:t>
      </w:r>
      <w:r>
        <w:rPr>
          <w:rFonts w:ascii="仿宋_GB2312" w:cs="仿宋_GB2312" w:eastAsia="仿宋_GB2312" w:hint="eastAsia"/>
          <w:w w:val="85"/>
          <w:sz w:val="32"/>
          <w:szCs w:val="32"/>
        </w:rPr>
        <w:t>由用人单位在相应学校提供周转房，并在县城提供教师公寓（两人一间，约70平米）。若学校无周转房，可提供公租房，并免除租房费用，若在温宿县购房，可享受住房公积金贷款和协调开发商以低于市场价或成本价购买。</w:t>
      </w:r>
    </w:p>
    <w:p>
      <w:pPr>
        <w:pStyle w:val="style0"/>
        <w:spacing w:lineRule="atLeast" w:line="560"/>
        <w:ind w:firstLine="600"/>
        <w:rPr/>
      </w:pPr>
      <w:r>
        <w:rPr>
          <w:rFonts w:ascii="仿宋_GB2312" w:cs="仿宋_GB2312" w:eastAsia="仿宋_GB2312" w:hint="eastAsia"/>
          <w:b/>
          <w:w w:val="85"/>
          <w:sz w:val="32"/>
          <w:szCs w:val="32"/>
        </w:rPr>
        <w:t>3.探亲费。</w:t>
      </w:r>
      <w:r>
        <w:rPr>
          <w:rFonts w:ascii="仿宋_GB2312" w:cs="仿宋_GB2312" w:eastAsia="仿宋_GB2312" w:hint="eastAsia"/>
          <w:w w:val="85"/>
          <w:sz w:val="32"/>
          <w:szCs w:val="32"/>
        </w:rPr>
        <w:t>探亲费用列入财政预算，按照未成家的一年可报销一次探亲费用、成家后三年可报销一次探亲费用的标准，具体费用按照规定报销来回交通费。</w:t>
      </w:r>
    </w:p>
    <w:p>
      <w:pPr>
        <w:pStyle w:val="style0"/>
        <w:spacing w:lineRule="exact" w:line="560"/>
        <w:rPr>
          <w:rFonts w:ascii="黑体" w:cs="黑体" w:eastAsia="黑体"/>
          <w:b/>
          <w:w w:val="85"/>
          <w:sz w:val="32"/>
          <w:szCs w:val="32"/>
        </w:rPr>
      </w:pPr>
      <w:r>
        <w:rPr>
          <w:rFonts w:ascii="黑体" w:cs="黑体" w:eastAsia="黑体" w:hint="eastAsia"/>
          <w:b/>
          <w:w w:val="85"/>
          <w:sz w:val="32"/>
          <w:szCs w:val="32"/>
        </w:rPr>
        <w:t>三、岗位计划</w:t>
      </w:r>
    </w:p>
    <w:tbl>
      <w:tblPr>
        <w:tblW w:w="13466" w:type="dxa"/>
        <w:tblInd w:w="392" w:type="dxa"/>
        <w:tblLayout w:type="fixed"/>
        <w:tblLook w:val="04A0" w:firstRow="1" w:lastRow="0" w:firstColumn="1" w:lastColumn="0" w:noHBand="0" w:noVBand="1"/>
      </w:tblPr>
      <w:tblGrid>
        <w:gridCol w:w="709"/>
        <w:gridCol w:w="772"/>
        <w:gridCol w:w="920"/>
        <w:gridCol w:w="580"/>
        <w:gridCol w:w="600"/>
        <w:gridCol w:w="580"/>
        <w:gridCol w:w="560"/>
        <w:gridCol w:w="580"/>
        <w:gridCol w:w="520"/>
        <w:gridCol w:w="500"/>
        <w:gridCol w:w="580"/>
        <w:gridCol w:w="470"/>
        <w:gridCol w:w="567"/>
        <w:gridCol w:w="567"/>
        <w:gridCol w:w="567"/>
        <w:gridCol w:w="1559"/>
        <w:gridCol w:w="830"/>
        <w:gridCol w:w="760"/>
        <w:gridCol w:w="660"/>
        <w:gridCol w:w="585"/>
      </w:tblGrid>
      <w:tr>
        <w:trPr>
          <w:trHeight w:val="510" w:hRule="atLeast"/>
        </w:trPr>
        <w:tc>
          <w:tcPr>
            <w:tcW w:w="13466" w:type="dxa"/>
            <w:gridSpan w:val="20"/>
            <w:tcBorders>
              <w:top w:val="nil"/>
              <w:left w:val="nil"/>
              <w:bottom w:val="nil"/>
              <w:right w:val="nil"/>
            </w:tcBorders>
            <w:shd w:val="clear" w:color="000000" w:fill="ffffff"/>
            <w:vAlign w:val="center"/>
            <w:hideMark/>
          </w:tcPr>
          <w:p>
            <w:pPr>
              <w:pStyle w:val="style0"/>
              <w:widowControl/>
              <w:jc w:val="center"/>
              <w:rPr>
                <w:rFonts w:ascii="宋体" w:cs="宋体" w:hAnsi="宋体"/>
                <w:b/>
                <w:bCs/>
                <w:kern w:val="0"/>
                <w:sz w:val="40"/>
                <w:szCs w:val="40"/>
              </w:rPr>
            </w:pPr>
            <w:r>
              <w:rPr>
                <w:rFonts w:ascii="宋体" w:cs="宋体" w:hAnsi="宋体" w:hint="eastAsia"/>
                <w:b/>
                <w:bCs/>
                <w:kern w:val="0"/>
                <w:sz w:val="36"/>
                <w:szCs w:val="40"/>
              </w:rPr>
              <w:t>2018年新疆温宿县教师招聘</w:t>
            </w:r>
            <w:r>
              <w:rPr>
                <w:rFonts w:ascii="宋体" w:cs="宋体" w:hAnsi="宋体" w:hint="eastAsia"/>
                <w:b/>
                <w:bCs/>
                <w:kern w:val="0"/>
                <w:sz w:val="36"/>
                <w:szCs w:val="40"/>
                <w:lang w:eastAsia="zh-CN"/>
              </w:rPr>
              <w:t>所需学科</w:t>
            </w:r>
          </w:p>
        </w:tc>
      </w:tr>
      <w:tr>
        <w:tblPrEx/>
        <w:trPr>
          <w:trHeight w:val="675" w:hRule="atLeast"/>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　</w:t>
            </w:r>
          </w:p>
        </w:tc>
        <w:tc>
          <w:tcPr>
            <w:tcW w:w="772"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学前教育</w:t>
            </w:r>
          </w:p>
        </w:tc>
        <w:tc>
          <w:tcPr>
            <w:tcW w:w="920"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道德与法治</w:t>
            </w:r>
          </w:p>
        </w:tc>
        <w:tc>
          <w:tcPr>
            <w:tcW w:w="580"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语文</w:t>
            </w:r>
          </w:p>
        </w:tc>
        <w:tc>
          <w:tcPr>
            <w:tcW w:w="600"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数学</w:t>
            </w:r>
          </w:p>
        </w:tc>
        <w:tc>
          <w:tcPr>
            <w:tcW w:w="580"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英语</w:t>
            </w:r>
          </w:p>
        </w:tc>
        <w:tc>
          <w:tcPr>
            <w:tcW w:w="560"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物理</w:t>
            </w:r>
          </w:p>
        </w:tc>
        <w:tc>
          <w:tcPr>
            <w:tcW w:w="580"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化学</w:t>
            </w:r>
          </w:p>
        </w:tc>
        <w:tc>
          <w:tcPr>
            <w:tcW w:w="520"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生物</w:t>
            </w:r>
          </w:p>
        </w:tc>
        <w:tc>
          <w:tcPr>
            <w:tcW w:w="500"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科学</w:t>
            </w:r>
          </w:p>
        </w:tc>
        <w:tc>
          <w:tcPr>
            <w:tcW w:w="580"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地理</w:t>
            </w:r>
          </w:p>
        </w:tc>
        <w:tc>
          <w:tcPr>
            <w:tcW w:w="470"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历史</w:t>
            </w:r>
          </w:p>
        </w:tc>
        <w:tc>
          <w:tcPr>
            <w:tcW w:w="567"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美术</w:t>
            </w:r>
          </w:p>
        </w:tc>
        <w:tc>
          <w:tcPr>
            <w:tcW w:w="567"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音乐</w:t>
            </w:r>
          </w:p>
        </w:tc>
        <w:tc>
          <w:tcPr>
            <w:tcW w:w="567"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体育</w:t>
            </w:r>
          </w:p>
        </w:tc>
        <w:tc>
          <w:tcPr>
            <w:tcW w:w="1559"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综合实践 （信息技术）</w:t>
            </w:r>
          </w:p>
        </w:tc>
        <w:tc>
          <w:tcPr>
            <w:tcW w:w="830"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心理健康</w:t>
            </w:r>
          </w:p>
        </w:tc>
        <w:tc>
          <w:tcPr>
            <w:tcW w:w="760"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通用技术</w:t>
            </w:r>
          </w:p>
        </w:tc>
        <w:tc>
          <w:tcPr>
            <w:tcW w:w="660"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r>
              <w:rPr>
                <w:rFonts w:ascii="宋体" w:cs="宋体" w:hAnsi="宋体" w:hint="eastAsia"/>
                <w:b/>
                <w:bCs/>
                <w:color w:val="000000"/>
                <w:kern w:val="0"/>
                <w:sz w:val="22"/>
                <w:szCs w:val="22"/>
              </w:rPr>
              <w:t>地方课程</w:t>
            </w:r>
          </w:p>
        </w:tc>
        <w:tc>
          <w:tcPr>
            <w:tcW w:w="585" w:type="dxa"/>
            <w:tcBorders>
              <w:top w:val="single" w:sz="4" w:space="0" w:color="auto"/>
              <w:left w:val="nil"/>
              <w:bottom w:val="single" w:sz="4" w:space="0" w:color="auto"/>
              <w:right w:val="single" w:sz="4" w:space="0" w:color="auto"/>
            </w:tcBorders>
            <w:shd w:val="clear" w:color="000000" w:fill="ffff00"/>
            <w:vAlign w:val="center"/>
            <w:hideMark/>
          </w:tcPr>
          <w:p>
            <w:pPr>
              <w:pStyle w:val="style0"/>
              <w:widowControl/>
              <w:jc w:val="center"/>
              <w:rPr>
                <w:rFonts w:ascii="宋体" w:cs="宋体" w:hAnsi="宋体"/>
                <w:b/>
                <w:bCs/>
                <w:color w:val="000000"/>
                <w:kern w:val="0"/>
                <w:sz w:val="22"/>
                <w:szCs w:val="22"/>
              </w:rPr>
            </w:pPr>
          </w:p>
        </w:tc>
      </w:tr>
    </w:tbl>
    <w:p>
      <w:pPr>
        <w:pStyle w:val="style0"/>
        <w:rPr>
          <w:rFonts w:ascii="方正大黑简体" w:cs="仿宋_GB2312" w:eastAsia="方正大黑简体"/>
          <w:b/>
          <w:bCs/>
          <w:w w:val="90"/>
          <w:sz w:val="24"/>
        </w:rPr>
      </w:pPr>
    </w:p>
    <w:tbl>
      <w:tblPr>
        <w:tblW w:w="25199" w:type="dxa"/>
        <w:tblLayout w:type="fixed"/>
        <w:tblCellMar>
          <w:top w:w="15" w:type="dxa"/>
          <w:left w:w="15" w:type="dxa"/>
          <w:bottom w:w="15" w:type="dxa"/>
          <w:right w:w="15" w:type="dxa"/>
        </w:tblCellMar>
        <w:tblLook w:val="04A0" w:firstRow="1" w:lastRow="0" w:firstColumn="1" w:lastColumn="0" w:noHBand="0" w:noVBand="1"/>
      </w:tblPr>
      <w:tblGrid>
        <w:gridCol w:w="1170"/>
        <w:gridCol w:w="2041"/>
        <w:gridCol w:w="3361"/>
        <w:gridCol w:w="6555"/>
        <w:gridCol w:w="7770"/>
        <w:gridCol w:w="1074"/>
        <w:gridCol w:w="1074"/>
        <w:gridCol w:w="1074"/>
        <w:gridCol w:w="1080"/>
      </w:tblGrid>
      <w:tr>
        <w:trPr>
          <w:trHeight w:val="1471" w:hRule="atLeast"/>
        </w:trPr>
        <w:tc>
          <w:tcPr>
            <w:tcW w:w="13127" w:type="dxa"/>
            <w:gridSpan w:val="4"/>
            <w:tcBorders>
              <w:bottom w:val="single" w:sz="4" w:space="0" w:color="000000"/>
            </w:tcBorders>
            <w:shd w:val="clear" w:color="auto" w:fill="auto"/>
            <w:vAlign w:val="center"/>
          </w:tcPr>
          <w:p>
            <w:pPr>
              <w:pStyle w:val="style0"/>
              <w:widowControl/>
              <w:jc w:val="left"/>
              <w:textAlignment w:val="center"/>
              <w:rPr>
                <w:rFonts w:ascii="华文中宋" w:cs="华文中宋" w:eastAsia="华文中宋" w:hAnsi="华文中宋"/>
                <w:b/>
                <w:color w:val="000000"/>
                <w:sz w:val="32"/>
                <w:szCs w:val="32"/>
              </w:rPr>
            </w:pPr>
            <w:r>
              <w:rPr>
                <w:rFonts w:ascii="华文中宋" w:cs="华文中宋" w:eastAsia="华文中宋" w:hAnsi="华文中宋" w:hint="eastAsia"/>
                <w:b/>
                <w:color w:val="000000"/>
                <w:kern w:val="0"/>
                <w:sz w:val="32"/>
                <w:szCs w:val="32"/>
              </w:rPr>
              <w:t>四、</w:t>
            </w:r>
            <w:r>
              <w:rPr>
                <w:rFonts w:ascii="华文中宋" w:cs="华文中宋" w:eastAsia="华文中宋" w:hAnsi="华文中宋"/>
                <w:b/>
                <w:color w:val="000000"/>
                <w:kern w:val="0"/>
                <w:sz w:val="32"/>
                <w:szCs w:val="32"/>
              </w:rPr>
              <w:t>2018年新疆维吾尔自治区中小学和幼儿园教师招聘考试专业目录</w:t>
            </w:r>
          </w:p>
        </w:tc>
        <w:tc>
          <w:tcPr>
            <w:tcW w:w="7770" w:type="dxa"/>
            <w:tcBorders/>
            <w:shd w:val="clear" w:color="auto" w:fill="auto"/>
            <w:vAlign w:val="center"/>
          </w:tcPr>
          <w:p>
            <w:pPr>
              <w:pStyle w:val="style0"/>
              <w:rPr>
                <w:rFonts w:ascii="宋体" w:cs="宋体" w:hAnsi="宋体"/>
                <w:color w:val="000000"/>
                <w:sz w:val="32"/>
                <w:szCs w:val="32"/>
              </w:rPr>
            </w:pPr>
          </w:p>
        </w:tc>
        <w:tc>
          <w:tcPr>
            <w:tcW w:w="1074" w:type="dxa"/>
            <w:tcBorders/>
            <w:shd w:val="clear" w:color="auto" w:fill="auto"/>
            <w:vAlign w:val="center"/>
          </w:tcPr>
          <w:p>
            <w:pPr>
              <w:pStyle w:val="style0"/>
              <w:rPr>
                <w:rFonts w:ascii="宋体" w:cs="宋体" w:hAnsi="宋体"/>
                <w:color w:val="000000"/>
                <w:sz w:val="32"/>
                <w:szCs w:val="32"/>
              </w:rPr>
            </w:pPr>
          </w:p>
        </w:tc>
        <w:tc>
          <w:tcPr>
            <w:tcW w:w="1074" w:type="dxa"/>
            <w:tcBorders/>
            <w:shd w:val="clear" w:color="auto" w:fill="auto"/>
            <w:vAlign w:val="center"/>
          </w:tcPr>
          <w:p>
            <w:pPr>
              <w:pStyle w:val="style0"/>
              <w:rPr>
                <w:rFonts w:ascii="宋体" w:cs="宋体" w:hAnsi="宋体"/>
                <w:color w:val="000000"/>
                <w:sz w:val="32"/>
                <w:szCs w:val="32"/>
              </w:rPr>
            </w:pPr>
          </w:p>
        </w:tc>
        <w:tc>
          <w:tcPr>
            <w:tcW w:w="1074" w:type="dxa"/>
            <w:tcBorders/>
            <w:shd w:val="clear" w:color="auto" w:fill="auto"/>
            <w:vAlign w:val="center"/>
          </w:tcPr>
          <w:p>
            <w:pPr>
              <w:pStyle w:val="style0"/>
              <w:rPr>
                <w:rFonts w:ascii="宋体" w:cs="宋体" w:hAnsi="宋体"/>
                <w:color w:val="000000"/>
                <w:sz w:val="32"/>
                <w:szCs w:val="32"/>
              </w:rPr>
            </w:pPr>
          </w:p>
        </w:tc>
        <w:tc>
          <w:tcPr>
            <w:tcW w:w="1080" w:type="dxa"/>
            <w:tcBorders/>
            <w:shd w:val="clear" w:color="auto" w:fill="auto"/>
            <w:vAlign w:val="center"/>
          </w:tcPr>
          <w:p>
            <w:pPr>
              <w:pStyle w:val="style0"/>
              <w:rPr>
                <w:rFonts w:ascii="宋体" w:cs="宋体" w:hAnsi="宋体"/>
                <w:color w:val="000000"/>
                <w:sz w:val="32"/>
                <w:szCs w:val="32"/>
              </w:rPr>
            </w:pPr>
          </w:p>
        </w:tc>
      </w:tr>
      <w:tr>
        <w:tblPrEx/>
        <w:trPr>
          <w:trHeight w:val="585"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b/>
                <w:color w:val="000000"/>
                <w:sz w:val="22"/>
                <w:szCs w:val="22"/>
              </w:rPr>
            </w:pPr>
            <w:r>
              <w:rPr>
                <w:rFonts w:ascii="宋体" w:cs="宋体" w:hAnsi="宋体" w:hint="eastAsia"/>
                <w:b/>
                <w:color w:val="000000"/>
                <w:kern w:val="0"/>
                <w:sz w:val="22"/>
                <w:szCs w:val="22"/>
              </w:rPr>
              <w:t>序号</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b/>
                <w:color w:val="000000"/>
                <w:sz w:val="22"/>
                <w:szCs w:val="22"/>
              </w:rPr>
            </w:pPr>
            <w:r>
              <w:rPr>
                <w:rFonts w:ascii="宋体" w:cs="宋体" w:hAnsi="宋体" w:hint="eastAsia"/>
                <w:b/>
                <w:color w:val="000000"/>
                <w:kern w:val="0"/>
                <w:sz w:val="22"/>
                <w:szCs w:val="22"/>
              </w:rPr>
              <w:t>学科</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b/>
                <w:color w:val="000000"/>
                <w:sz w:val="24"/>
              </w:rPr>
            </w:pPr>
            <w:r>
              <w:rPr>
                <w:rFonts w:ascii="宋体" w:cs="宋体" w:hAnsi="宋体" w:hint="eastAsia"/>
                <w:b/>
                <w:color w:val="000000"/>
                <w:kern w:val="0"/>
                <w:sz w:val="24"/>
              </w:rPr>
              <w:t>专业</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1936"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语文类</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 xml:space="preserve">汉语、汉语言文学、汉语言、汉语国际教育、汉语言文学教育、古典文献学、汉语言文字学、古典文献学、语言学及应用语言学、中国现当代文学、中国古代文学、中国古典文献学、华文教育、中国语言文化、中国语言文学、中国少数民族语言文学、应用语言学、文艺学、比较文学与世界文学、小学教育（文科方向、限小学段）、学科教学（语文）、语文教育、中文教育、初等教育（文科方向）、对外汉语、初等教育（双语师资）、新闻学、编辑出版学、广播电视新闻学、广播电视学、戏剧影视文学、文学、中国文学、文秘、秘书学等相关专业。  　 </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1065"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英语类</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英语、英语语言文学、英语教育、学科教学（英语）、翻译、科技英语、商务英语、旅游英语、商贸英语、英语笔译、英语翻译与传译、英语口译、应用英语、英语翻译导游、小学教育（英语方向、限小学段）、初等教育（英语方向）等相关专业。</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1531"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3</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数学类</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数学与应用数学、信息与计算科学、数理基础科学、数学教育、数学、学科教学（数学）、小学教育(数学方向、限小学段)、初等教育(数学方向、理科方向)、初等教育（双语师资）、应用数学、计算数学、基础数学、概率论与数理统计、运筹学与控制论、统计学、经济统计学、应用统计学等相关专业。</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2101"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4</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道德与法治（政治）类</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政治、政治学、政治理论、政治学与行政学、国际政治、外交学、哲学、政治学理论、中外政治制度、科学社会主义与国际共产主义运动、中国共产党党史（含党的学说与党的建设）、国际关系、思想政治教育、学科教学（思政）、马克思主义基本原理、科学技术哲学、马克思主义发展史、马克思主义理论、马克思主义哲学、马克思主义中国化研究、中国哲学、科学社会主义与国际共产主义运动、中国革命史与中国共产党党史、马克思主义发展史、国外马克思主义研究、马克思主义理论与思想政治教育、教育学、法学等相关专业。</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1501"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5</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物理类</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物理教育、物理学、核物理、应用物理学、学科教学（物理）、化学物理、声学、工程力学、理论与应用力学、工程结构分析、理论物理、粒子物理与原子核物理、光学、原子与分子物理、等离子体物理、流体力学、凝聚态物理、无线电物理、固体力学、一般力学与力学基础、工程力学、流体力学、地球物理学、材料科学与工程、材料物理、高分子材料与工程等相关专业。</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1230"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6</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化学类</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sz w:val="24"/>
              </w:rPr>
              <w:pict>
                <v:shapetype id="_x0000_t202" coordsize="21600,21600" o:spt="202" path="m,l,21600r21600,l21600,xe">
                  <v:stroke joinstyle="miter"/>
                  <v:path gradientshapeok="t" o:connecttype="rect"/>
                </v:shapetype>
                <v:shape id="1027" type="#_x0000_t202" style="position:absolute;margin-left:85.55pt;margin-top:60.45pt;width:3.55pt;height:3.55pt;z-index:2;mso-position-horizontal-relative:page;mso-position-vertical-relative:page;mso-width-relative:page;mso-height-relative:page;mso-wrap-distance-left:0.0pt;mso-wrap-distance-right:0.0pt;visibility:visible;">
                  <v:stroke joinstyle="miter"/>
                  <v:fill/>
                  <v:path o:connecttype="rect" gradientshapeok="t"/>
                  <v:textbox style="mso-fit-text-to-shape:true;">
                    <w:txbxContent>
                      <w:p>
                        <w:pPr>
                          <w:pStyle w:val="style0"/>
                          <w:rPr>
                            <w:b/>
                            <w:bCs/>
                            <w:color w:val="ff0000"/>
                            <w:sz w:val="28"/>
                            <w:szCs w:val="36"/>
                          </w:rPr>
                        </w:pPr>
                      </w:p>
                    </w:txbxContent>
                  </v:textbox>
                </v:shape>
              </w:pict>
            </w:r>
            <w:r>
              <w:rPr>
                <w:rFonts w:ascii="宋体" w:cs="宋体" w:hAnsi="宋体" w:hint="eastAsia"/>
                <w:color w:val="000000"/>
                <w:kern w:val="0"/>
                <w:sz w:val="24"/>
              </w:rPr>
              <w:t>化学、应用化学、化学教育、学科教学（化学）、分析化学、高分子化学与物理、化学工程、有机化学、无机化学、物理化学、材料化学、化学工程与工艺、化学生物学、分子科学与工程、地球化学、材料科学与工程、高分子材料与工程、应用化学技术、制药工程、轻化工程、环境生态工程、环境工程、环境科学等相关专业。</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1996"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7</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生物类</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生物教育、生物科学、生态学、生物教育、植物学、动物学、生理学、水生生物学、微生物学、神经生物学、遗传学、发育生物学、细胞生物学、生物化学与分子生物学、生物物理学、生态学生物科学、生物技术、生物信息学、生物信息技术、生物科学与生物技术、生物化学与分子生物学、植物生物技术、生物资源科学、生物安全、生物工程、生物医学工程、学科教学（生物）、生物技术及应用、生物实验技术、生物化工工艺、微生物技术及应用、动植物检疫、农学、园艺、植物保护、植物科学与技术、种子科学与工程等相关专业。</w:t>
            </w:r>
          </w:p>
        </w:tc>
        <w:tc>
          <w:tcPr>
            <w:tcW w:w="7770" w:type="dxa"/>
            <w:tcBorders/>
            <w:shd w:val="clear" w:color="auto" w:fill="auto"/>
            <w:vAlign w:val="bottom"/>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1260"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8</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地理类</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地理科学、地理信息科学、自然地理与资源环境、人文地理与城乡规划、地图学与地理信息系统、自然地理学、人文地理学、学科教学（地理）、资源环境与城乡规划管理 、地理信息科学与技术、生态学、资源环境科学、历史地理学、土地资源管理等相关专业。</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1035"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9</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历史类</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历史学、世界史、考古学、博物馆学、考古学与博物馆学、中国历史、世界历史、历史文献学、史学理论与史学史、学科教学（历史）、中国古代史、中国近现代史、专门史、历史地理学、民族学、文物保护技术、文物与博物馆学、文物鉴定（赏）与修复、文化人类学等相关专业。</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1651"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10</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美术类</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美术学、美术教育、美术、绘画(油画、国画、雕塑、版画)、中国画、书法学、书法教育、艺术教育、艺术设计（学）、装潢艺术设计、环境艺术设计、学科教学（美术）、教育学（美术方向）、初等教育（美术方向）、美术设计、艺术设计、艺术学、综合绘画、装潢设计、装饰艺术设计、动漫、动漫设计与制作、动画、动画设计、电脑艺术设计、人物形象设计等相关专业。</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1381"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11</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音乐类</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音乐学、音乐教育、音乐学(音乐教育)、舞蹈学、舞蹈教育、舞蹈表演、音乐表演、学科教学（音乐）、初等教育（音乐方向）、艺术教育(音乐方向)、演唱、表演、表演艺术、舞蹈编导、作曲与作曲技术理论、钢琴调律、管弦乐器演奏、键盘乐器演奏、乐器修造艺术、流行音乐电声乐器、音乐舞蹈教育、音乐与舞蹈、音乐剧、指挥、中国乐器演奏等相关专业。</w:t>
            </w:r>
          </w:p>
        </w:tc>
        <w:tc>
          <w:tcPr>
            <w:tcW w:w="7770" w:type="dxa"/>
            <w:tcBorders/>
            <w:shd w:val="clear" w:color="auto" w:fill="auto"/>
            <w:vAlign w:val="bottom"/>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bottom"/>
          </w:tcPr>
          <w:p>
            <w:pPr>
              <w:pStyle w:val="style0"/>
              <w:widowControl/>
              <w:jc w:val="left"/>
              <w:textAlignment w:val="bottom"/>
              <w:rPr>
                <w:rFonts w:ascii="宋体" w:cs="宋体" w:hAnsi="宋体"/>
                <w:color w:val="000000"/>
                <w:sz w:val="24"/>
              </w:rPr>
            </w:pPr>
          </w:p>
        </w:tc>
      </w:tr>
      <w:tr>
        <w:tblPrEx/>
        <w:trPr>
          <w:trHeight w:val="1441"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12</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体育类</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体育教育、学科教学（体育）、初等教育（体育方向）、运动训练、竞技体育、社会体育指导与管理、武术、武术与民族传统体育、社会体育、体育健康、体育教学、体育教育训练学、体育人文社会学、运动人体科学、体育保健、民族传统体育学、体育服务与管理、运动康复与健康、休闲体育等相关专业。</w:t>
            </w:r>
          </w:p>
        </w:tc>
        <w:tc>
          <w:tcPr>
            <w:tcW w:w="7770" w:type="dxa"/>
            <w:tcBorders/>
            <w:shd w:val="clear" w:color="auto" w:fill="auto"/>
            <w:vAlign w:val="bottom"/>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2296" w:hRule="atLeast"/>
        </w:trPr>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13</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计算机类</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计算机教育、计算机科学与技术、计算机应用技术、初等教育（现代信息技术方向）、教育技术学、现代教育技术、网络工程、软件工程、信息安全、通信工程、电子信息工程、信息工程、电子信息科学与技术、电子科学与技术、计算机应用技术、计算机网络技术、计算机多媒体技术、计算机系统维护、计算机硬件与外设、计算机信息管理、网络系统管理、软件技术、图形图像制作、计算机网络与安全管理、网站规划与开发技术、游戏软件、数据通信与网络系统、航空计算机技术与应用、软件开发与项目管理、三维动画设计、计算机音乐制作、软件测试技术、嵌入式技术与应用、物联网工程、自动化、数字媒体技术、计算机软件与理论、计算机系统结构等相关专业。</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750" w:hRule="atLeast"/>
        </w:trPr>
        <w:tc>
          <w:tcPr>
            <w:tcW w:w="1170" w:type="dxa"/>
            <w:tcBorders>
              <w:top w:val="single" w:sz="4" w:space="0" w:color="000000"/>
              <w:left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14</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小学数学</w:t>
            </w:r>
          </w:p>
        </w:tc>
        <w:tc>
          <w:tcPr>
            <w:tcW w:w="99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数学类、物理类、化学类、计算机类对应专业。</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510" w:hRule="atLeast"/>
        </w:trPr>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15</w:t>
            </w:r>
          </w:p>
        </w:tc>
        <w:tc>
          <w:tcPr>
            <w:tcW w:w="20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center"/>
              <w:textAlignment w:val="center"/>
              <w:rPr>
                <w:rFonts w:ascii="宋体" w:cs="宋体" w:hAnsi="宋体"/>
                <w:color w:val="000000"/>
                <w:sz w:val="22"/>
                <w:szCs w:val="22"/>
              </w:rPr>
            </w:pPr>
            <w:r>
              <w:rPr>
                <w:rFonts w:ascii="宋体" w:cs="宋体" w:hAnsi="宋体" w:hint="eastAsia"/>
                <w:color w:val="000000"/>
                <w:kern w:val="0"/>
                <w:sz w:val="22"/>
                <w:szCs w:val="22"/>
              </w:rPr>
              <w:t>学前岗位</w:t>
            </w:r>
          </w:p>
        </w:tc>
        <w:tc>
          <w:tcPr>
            <w:tcW w:w="3361" w:type="dxa"/>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中专学历</w:t>
            </w:r>
          </w:p>
        </w:tc>
        <w:tc>
          <w:tcPr>
            <w:tcW w:w="655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学前教育、学前双语教育、幼儿教育。</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r>
        <w:tblPrEx/>
        <w:trPr>
          <w:trHeight w:val="360" w:hRule="atLeast"/>
        </w:trPr>
        <w:tc>
          <w:tcPr>
            <w:tcW w:w="1170" w:type="dxa"/>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jc w:val="center"/>
              <w:rPr>
                <w:rFonts w:ascii="宋体" w:cs="宋体" w:hAnsi="宋体"/>
                <w:color w:val="000000"/>
                <w:sz w:val="22"/>
                <w:szCs w:val="22"/>
              </w:rPr>
            </w:pPr>
          </w:p>
        </w:tc>
        <w:tc>
          <w:tcPr>
            <w:tcW w:w="2041" w:type="dxa"/>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jc w:val="center"/>
              <w:rPr>
                <w:rFonts w:ascii="宋体" w:cs="宋体" w:hAnsi="宋体"/>
                <w:color w:val="000000"/>
                <w:sz w:val="22"/>
                <w:szCs w:val="22"/>
              </w:rPr>
            </w:pPr>
          </w:p>
        </w:tc>
        <w:tc>
          <w:tcPr>
            <w:tcW w:w="336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大专及以上学历</w:t>
            </w:r>
          </w:p>
        </w:tc>
        <w:tc>
          <w:tcPr>
            <w:tcW w:w="655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yle0"/>
              <w:widowControl/>
              <w:jc w:val="left"/>
              <w:textAlignment w:val="center"/>
              <w:rPr>
                <w:rFonts w:ascii="宋体" w:cs="宋体" w:hAnsi="宋体"/>
                <w:color w:val="000000"/>
                <w:sz w:val="24"/>
              </w:rPr>
            </w:pPr>
            <w:r>
              <w:rPr>
                <w:rFonts w:ascii="宋体" w:cs="宋体" w:hAnsi="宋体" w:hint="eastAsia"/>
                <w:color w:val="000000"/>
                <w:kern w:val="0"/>
                <w:sz w:val="24"/>
              </w:rPr>
              <w:t>师范类专业。</w:t>
            </w:r>
          </w:p>
        </w:tc>
        <w:tc>
          <w:tcPr>
            <w:tcW w:w="7770"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74" w:type="dxa"/>
            <w:tcBorders/>
            <w:shd w:val="clear" w:color="auto" w:fill="auto"/>
            <w:vAlign w:val="center"/>
          </w:tcPr>
          <w:p>
            <w:pPr>
              <w:pStyle w:val="style0"/>
              <w:rPr>
                <w:rFonts w:ascii="宋体" w:cs="宋体" w:hAnsi="宋体"/>
                <w:color w:val="000000"/>
                <w:sz w:val="22"/>
                <w:szCs w:val="22"/>
              </w:rPr>
            </w:pPr>
          </w:p>
        </w:tc>
        <w:tc>
          <w:tcPr>
            <w:tcW w:w="1080" w:type="dxa"/>
            <w:tcBorders/>
            <w:shd w:val="clear" w:color="auto" w:fill="auto"/>
            <w:vAlign w:val="center"/>
          </w:tcPr>
          <w:p>
            <w:pPr>
              <w:pStyle w:val="style0"/>
              <w:rPr>
                <w:rFonts w:ascii="宋体" w:cs="宋体" w:hAnsi="宋体"/>
                <w:color w:val="000000"/>
                <w:sz w:val="22"/>
                <w:szCs w:val="22"/>
              </w:rPr>
            </w:pPr>
          </w:p>
        </w:tc>
      </w:tr>
    </w:tbl>
    <w:p>
      <w:pPr>
        <w:pStyle w:val="style94"/>
        <w:widowControl/>
        <w:shd w:val="clear" w:color="ffffff" w:fill="ffffff"/>
        <w:spacing w:before="0" w:after="0" w:lineRule="atLeast" w:line="540"/>
        <w:rPr>
          <w:rFonts w:ascii="黑体" w:cs="黑体" w:eastAsia="黑体" w:hAnsi="黑体" w:hint="default"/>
          <w:b/>
          <w:color w:val="000000"/>
          <w:sz w:val="32"/>
          <w:szCs w:val="32"/>
          <w:shd w:val="clear" w:color="ffffff" w:fill="ffffff"/>
        </w:rPr>
      </w:pPr>
      <w:r>
        <w:rPr>
          <w:rFonts w:ascii="黑体" w:cs="黑体" w:eastAsia="黑体" w:hAnsi="黑体"/>
          <w:b/>
          <w:color w:val="000000"/>
          <w:sz w:val="32"/>
          <w:szCs w:val="32"/>
          <w:shd w:val="clear" w:color="ffffff" w:fill="ffffff"/>
        </w:rPr>
        <w:t>五</w:t>
      </w:r>
      <w:r>
        <w:rPr>
          <w:rFonts w:ascii="黑体" w:cs="黑体" w:eastAsia="黑体" w:hAnsi="黑体"/>
          <w:b/>
          <w:color w:val="000000"/>
          <w:sz w:val="32"/>
          <w:szCs w:val="32"/>
          <w:shd w:val="clear" w:color="ffffff" w:fill="ffffff"/>
        </w:rPr>
        <w:t>、</w:t>
      </w:r>
      <w:r>
        <w:rPr>
          <w:rFonts w:ascii="黑体" w:eastAsia="黑体" w:hAnsi="黑体"/>
          <w:b/>
          <w:snapToGrid w:val="false"/>
          <w:sz w:val="32"/>
          <w:szCs w:val="32"/>
        </w:rPr>
        <w:t>报名方式</w:t>
      </w:r>
    </w:p>
    <w:p>
      <w:pPr>
        <w:pStyle w:val="style0"/>
        <w:widowControl/>
        <w:shd w:val="clear" w:color="auto" w:fill="ffffff"/>
        <w:snapToGrid w:val="false"/>
        <w:spacing w:lineRule="exact" w:line="600"/>
        <w:rPr>
          <w:rFonts w:ascii="仿宋" w:cs="仿宋" w:eastAsia="仿宋" w:hAnsi="仿宋"/>
          <w:snapToGrid w:val="false"/>
          <w:kern w:val="0"/>
          <w:sz w:val="32"/>
          <w:szCs w:val="32"/>
        </w:rPr>
      </w:pPr>
      <w:r>
        <w:rPr>
          <w:rFonts w:ascii="仿宋" w:cs="仿宋" w:eastAsia="仿宋" w:hAnsi="仿宋" w:hint="eastAsia"/>
          <w:snapToGrid w:val="false"/>
          <w:kern w:val="0"/>
          <w:sz w:val="32"/>
          <w:szCs w:val="32"/>
        </w:rPr>
        <w:t>电话咨询报名</w:t>
      </w:r>
    </w:p>
    <w:p>
      <w:pPr>
        <w:pStyle w:val="style0"/>
        <w:widowControl/>
        <w:shd w:val="clear" w:color="auto" w:fill="ffffff"/>
        <w:snapToGrid w:val="false"/>
        <w:spacing w:lineRule="exact" w:line="600"/>
        <w:rPr>
          <w:rFonts w:ascii="仿宋" w:cs="仿宋" w:eastAsia="仿宋" w:hAnsi="仿宋" w:hint="eastAsia"/>
          <w:snapToGrid w:val="false"/>
          <w:kern w:val="0"/>
          <w:sz w:val="32"/>
          <w:szCs w:val="32"/>
        </w:rPr>
      </w:pPr>
      <w:r>
        <w:rPr>
          <w:rFonts w:ascii="仿宋" w:cs="仿宋" w:eastAsia="仿宋" w:hAnsi="仿宋" w:hint="eastAsia"/>
          <w:snapToGrid w:val="false"/>
          <w:kern w:val="0"/>
          <w:sz w:val="32"/>
          <w:szCs w:val="32"/>
        </w:rPr>
        <w:t>刘</w:t>
      </w:r>
      <w:r>
        <w:rPr>
          <w:rFonts w:ascii="仿宋" w:cs="仿宋" w:eastAsia="仿宋" w:hAnsi="仿宋" w:hint="eastAsia"/>
          <w:snapToGrid w:val="false"/>
          <w:kern w:val="0"/>
          <w:sz w:val="32"/>
          <w:szCs w:val="32"/>
          <w:lang w:eastAsia="zh-CN"/>
        </w:rPr>
        <w:t>老</w:t>
      </w:r>
      <w:r>
        <w:rPr>
          <w:rFonts w:ascii="仿宋" w:cs="仿宋" w:eastAsia="仿宋" w:hAnsi="仿宋" w:hint="eastAsia"/>
          <w:snapToGrid w:val="false"/>
          <w:kern w:val="0"/>
          <w:sz w:val="32"/>
          <w:szCs w:val="32"/>
          <w:lang w:eastAsia="zh-CN"/>
        </w:rPr>
        <w:t xml:space="preserve">师: </w:t>
      </w:r>
      <w:r>
        <w:rPr>
          <w:rFonts w:ascii="仿宋" w:cs="仿宋" w:eastAsia="仿宋" w:hAnsi="仿宋" w:hint="eastAsia"/>
          <w:snapToGrid w:val="false"/>
          <w:kern w:val="0"/>
          <w:sz w:val="32"/>
          <w:szCs w:val="32"/>
        </w:rPr>
        <w:t>15886859619</w:t>
      </w:r>
    </w:p>
    <w:p>
      <w:pPr>
        <w:pStyle w:val="style0"/>
        <w:widowControl/>
        <w:shd w:val="clear" w:color="auto" w:fill="ffffff"/>
        <w:snapToGrid w:val="false"/>
        <w:spacing w:lineRule="exact" w:line="600"/>
        <w:rPr>
          <w:rFonts w:ascii="仿宋" w:cs="仿宋" w:eastAsia="仿宋" w:hAnsi="仿宋"/>
          <w:snapToGrid w:val="false"/>
          <w:kern w:val="0"/>
          <w:sz w:val="32"/>
          <w:szCs w:val="32"/>
        </w:rPr>
      </w:pPr>
      <w:r>
        <w:rPr>
          <w:rFonts w:ascii="仿宋" w:cs="仿宋" w:eastAsia="仿宋" w:hAnsi="仿宋" w:hint="eastAsia"/>
          <w:snapToGrid w:val="false"/>
          <w:kern w:val="0"/>
          <w:sz w:val="32"/>
          <w:szCs w:val="32"/>
          <w:lang w:eastAsia="zh-CN"/>
        </w:rPr>
        <w:t>李老师:</w:t>
      </w:r>
      <w:r>
        <w:rPr>
          <w:rFonts w:ascii="仿宋" w:cs="仿宋" w:eastAsia="仿宋" w:hAnsi="仿宋" w:hint="eastAsia"/>
          <w:snapToGrid w:val="false"/>
          <w:kern w:val="0"/>
          <w:sz w:val="32"/>
          <w:szCs w:val="32"/>
          <w:lang w:eastAsia="zh-CN"/>
        </w:rPr>
        <w:t xml:space="preserve"> </w:t>
      </w:r>
      <w:r>
        <w:rPr>
          <w:rFonts w:ascii="仿宋" w:cs="仿宋" w:eastAsia="仿宋" w:hAnsi="仿宋" w:hint="eastAsia"/>
          <w:snapToGrid w:val="false"/>
          <w:kern w:val="0"/>
          <w:sz w:val="32"/>
          <w:szCs w:val="32"/>
          <w:lang w:eastAsia="zh-CN"/>
        </w:rPr>
        <w:t>1389920907</w:t>
      </w:r>
      <w:r>
        <w:rPr>
          <w:rFonts w:ascii="仿宋" w:cs="仿宋" w:eastAsia="仿宋" w:hAnsi="仿宋" w:hint="eastAsia"/>
          <w:snapToGrid w:val="false"/>
          <w:kern w:val="0"/>
          <w:sz w:val="32"/>
          <w:szCs w:val="32"/>
          <w:lang w:eastAsia="zh-CN"/>
        </w:rPr>
        <w:t>1</w:t>
      </w:r>
    </w:p>
    <w:p>
      <w:pPr>
        <w:pStyle w:val="style0"/>
        <w:widowControl/>
        <w:shd w:val="clear" w:color="auto" w:fill="ffffff"/>
        <w:snapToGrid w:val="false"/>
        <w:spacing w:lineRule="exact" w:line="600"/>
        <w:rPr>
          <w:rFonts w:ascii="仿宋" w:cs="仿宋" w:eastAsia="仿宋" w:hAnsi="仿宋" w:hint="eastAsia"/>
          <w:snapToGrid w:val="false"/>
          <w:kern w:val="0"/>
          <w:sz w:val="32"/>
          <w:szCs w:val="32"/>
        </w:rPr>
      </w:pPr>
    </w:p>
    <w:p>
      <w:pPr>
        <w:pStyle w:val="style0"/>
        <w:widowControl/>
        <w:shd w:val="clear" w:color="auto" w:fill="ffffff"/>
        <w:snapToGrid w:val="false"/>
        <w:spacing w:lineRule="exact" w:line="600"/>
        <w:rPr>
          <w:rFonts w:ascii="仿宋" w:cs="仿宋" w:eastAsia="仿宋" w:hAnsi="仿宋"/>
          <w:snapToGrid w:val="false"/>
          <w:kern w:val="0"/>
          <w:sz w:val="32"/>
          <w:szCs w:val="32"/>
        </w:rPr>
      </w:pPr>
    </w:p>
    <w:p>
      <w:pPr>
        <w:pStyle w:val="style0"/>
        <w:widowControl/>
        <w:shd w:val="clear" w:color="auto" w:fill="ffffff"/>
        <w:wordWrap w:val="false"/>
        <w:snapToGrid w:val="false"/>
        <w:spacing w:lineRule="exact" w:line="600"/>
        <w:ind w:firstLine="560" w:firstLineChars="200"/>
        <w:jc w:val="right"/>
        <w:rPr>
          <w:rFonts w:ascii="仿宋_GB2312" w:eastAsia="仿宋_GB2312" w:hint="eastAsia"/>
          <w:snapToGrid w:val="false"/>
          <w:spacing w:val="-20"/>
          <w:kern w:val="0"/>
          <w:sz w:val="32"/>
          <w:szCs w:val="32"/>
        </w:rPr>
      </w:pPr>
      <w:r>
        <w:rPr>
          <w:rFonts w:ascii="仿宋_GB2312" w:eastAsia="仿宋_GB2312" w:hint="eastAsia"/>
          <w:snapToGrid w:val="false"/>
          <w:spacing w:val="-20"/>
          <w:kern w:val="0"/>
          <w:sz w:val="32"/>
          <w:szCs w:val="32"/>
        </w:rPr>
        <w:t xml:space="preserve">温宿县教育局 </w:t>
      </w:r>
      <w:r>
        <w:rPr>
          <w:rFonts w:ascii="仿宋_GB2312" w:eastAsia="仿宋_GB2312" w:hint="eastAsia"/>
          <w:snapToGrid w:val="false"/>
          <w:spacing w:val="-20"/>
          <w:kern w:val="0"/>
          <w:sz w:val="32"/>
          <w:szCs w:val="32"/>
        </w:rPr>
        <w:t xml:space="preserve">        </w:t>
      </w:r>
    </w:p>
    <w:p>
      <w:pPr>
        <w:pStyle w:val="style0"/>
        <w:widowControl/>
        <w:shd w:val="clear" w:color="auto" w:fill="ffffff"/>
        <w:wordWrap w:val="false"/>
        <w:snapToGrid w:val="false"/>
        <w:spacing w:lineRule="exact" w:line="600"/>
        <w:ind w:firstLine="640" w:firstLineChars="200"/>
        <w:jc w:val="right"/>
        <w:rPr>
          <w:szCs w:val="21"/>
        </w:rPr>
      </w:pPr>
      <w:r>
        <w:rPr>
          <w:rFonts w:ascii="仿宋_GB2312" w:cs="宋体" w:eastAsia="仿宋_GB2312" w:hint="eastAsia"/>
          <w:snapToGrid w:val="false"/>
          <w:kern w:val="0"/>
          <w:sz w:val="32"/>
          <w:szCs w:val="32"/>
        </w:rPr>
        <w:t>2018年</w:t>
      </w:r>
      <w:r>
        <w:rPr>
          <w:rFonts w:ascii="仿宋_GB2312" w:cs="宋体" w:eastAsia="仿宋_GB2312" w:hint="eastAsia"/>
          <w:snapToGrid w:val="false"/>
          <w:kern w:val="0"/>
          <w:sz w:val="32"/>
          <w:szCs w:val="32"/>
          <w:lang w:eastAsia="zh-CN"/>
        </w:rPr>
        <w:t>10</w:t>
      </w:r>
      <w:r>
        <w:rPr>
          <w:rFonts w:ascii="仿宋_GB2312" w:cs="宋体" w:eastAsia="仿宋_GB2312" w:hint="eastAsia"/>
          <w:snapToGrid w:val="false"/>
          <w:kern w:val="0"/>
          <w:sz w:val="32"/>
          <w:szCs w:val="32"/>
        </w:rPr>
        <w:t>月</w:t>
      </w:r>
      <w:r>
        <w:rPr>
          <w:rFonts w:ascii="仿宋_GB2312" w:cs="宋体" w:eastAsia="仿宋_GB2312" w:hint="eastAsia"/>
          <w:snapToGrid w:val="false"/>
          <w:kern w:val="0"/>
          <w:sz w:val="32"/>
          <w:szCs w:val="32"/>
          <w:lang w:eastAsia="zh-CN"/>
        </w:rPr>
        <w:t>5</w:t>
      </w:r>
      <w:r>
        <w:rPr>
          <w:rFonts w:ascii="仿宋_GB2312" w:cs="宋体" w:eastAsia="仿宋_GB2312" w:hint="eastAsia"/>
          <w:snapToGrid w:val="false"/>
          <w:kern w:val="0"/>
          <w:sz w:val="32"/>
          <w:szCs w:val="32"/>
        </w:rPr>
        <w:t>日</w:t>
      </w:r>
      <w:r>
        <w:rPr>
          <w:rFonts w:ascii="仿宋_GB2312" w:cs="宋体" w:eastAsia="仿宋_GB2312" w:hint="eastAsia"/>
          <w:snapToGrid w:val="false"/>
          <w:kern w:val="0"/>
          <w:sz w:val="32"/>
          <w:szCs w:val="32"/>
        </w:rPr>
        <w:t xml:space="preserve">    </w:t>
      </w:r>
    </w:p>
    <w:sectPr>
      <w:pgSz w:w="16839" w:h="23814" w:orient="portrait"/>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A00002EF" w:usb1="4000207B" w:usb2="00000000" w:usb3="00000000" w:csb0="0000009F" w:csb1="00000000"/>
  </w:font>
  <w:font w:name="宋体">
    <w:altName w:val="SimSun"/>
    <w:panose1 w:val="02010600030000010101"/>
    <w:charset w:val="86"/>
    <w:family w:val="auto"/>
    <w:pitch w:val="variable"/>
    <w:sig w:usb0="00000003" w:usb1="080E0000" w:usb2="00000010" w:usb3="00000000" w:csb0="00040001" w:csb1="00000000"/>
  </w:font>
  <w:font w:name="Arial">
    <w:altName w:val="Arial"/>
    <w:panose1 w:val="020b0604020000020204"/>
    <w:charset w:val="00"/>
    <w:family w:val="swiss"/>
    <w:pitch w:val="variable"/>
    <w:sig w:usb0="20002A87" w:usb1="80000000" w:usb2="00000008" w:usb3="00000000" w:csb0="000001FF" w:csb1="00000000"/>
  </w:font>
  <w:font w:name="Times New Roman">
    <w:altName w:val="Times New Roman"/>
    <w:panose1 w:val="02020603050000020304"/>
    <w:charset w:val="00"/>
    <w:family w:val="roman"/>
    <w:pitch w:val="variable"/>
    <w:sig w:usb0="20002A87" w:usb1="80000000" w:usb2="00000008" w:usb3="00000000" w:csb0="000001FF" w:csb1="00000000"/>
  </w:font>
  <w:font w:name="方正小标宋简体">
    <w:altName w:val="微软雅黑"/>
    <w:panose1 w:val="00000000000000000000"/>
    <w:charset w:val="86"/>
    <w:family w:val="script"/>
    <w:pitch w:val="default"/>
    <w:sig w:usb0="00000000" w:usb1="00000000" w:usb2="00000000" w:usb3="00000000" w:csb0="00040000" w:csb1="00000000"/>
  </w:font>
  <w:font w:name="黑体">
    <w:altName w:val="SimHei"/>
    <w:panose1 w:val="02010600030000010101"/>
    <w:charset w:val="86"/>
    <w:family w:val="auto"/>
    <w:pitch w:val="variable"/>
    <w:sig w:usb0="00000001" w:usb1="080E0000" w:usb2="00000010" w:usb3="00000000" w:csb0="00040000" w:csb1="00000000"/>
  </w:font>
  <w:font w:name="仿宋_GB2312">
    <w:altName w:val="仿宋"/>
    <w:panose1 w:val="02010609030000010101"/>
    <w:charset w:val="86"/>
    <w:family w:val="modern"/>
    <w:pitch w:val="fixed"/>
    <w:sig w:usb0="00000001" w:usb1="080E0000" w:usb2="00000010" w:usb3="00000000" w:csb0="00040000" w:csb1="00000000"/>
  </w:font>
  <w:font w:name="Verdana">
    <w:altName w:val="Verdana"/>
    <w:panose1 w:val="020b0604030000040204"/>
    <w:charset w:val="00"/>
    <w:family w:val="swiss"/>
    <w:pitch w:val="variable"/>
    <w:sig w:usb0="20000287" w:usb1="00000000" w:usb2="00000000" w:usb3="00000000" w:csb0="0000019F" w:csb1="00000000"/>
  </w:font>
  <w:font w:name="方正大黑简体">
    <w:altName w:val="黑体"/>
    <w:panose1 w:val="00000000000000000000"/>
    <w:charset w:val="86"/>
    <w:family w:val="script"/>
    <w:pitch w:val="default"/>
    <w:sig w:usb0="00000000" w:usb1="00000000" w:usb2="00000010" w:usb3="00000000" w:csb0="00040000" w:csb1="00000000"/>
  </w:font>
  <w:font w:name="华文中宋">
    <w:altName w:val="宋体"/>
    <w:panose1 w:val="02010600040000010101"/>
    <w:charset w:val="86"/>
    <w:family w:val="auto"/>
    <w:pitch w:val="variable"/>
    <w:sig w:usb0="00000287" w:usb1="080F0000" w:usb2="00000010" w:usb3="00000000" w:csb0="0004009F" w:csb1="00000000"/>
  </w:font>
  <w:font w:name="仿宋">
    <w:altName w:val="Arial Unicode MS"/>
    <w:panose1 w:val="00000000000000000000"/>
    <w:charset w:val="86"/>
    <w:family w:val="auto"/>
    <w:pitch w:val="default"/>
    <w:sig w:usb0="00000000" w:usb1="38CF7CFA" w:usb2="00000016" w:usb3="00000000" w:csb0="00040001" w:csb1="00000000"/>
  </w:font>
  <w:font w:name="Cambria">
    <w:altName w:val="Cambria"/>
    <w:panose1 w:val="02040503050000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HorizontalSpacing w:val="105"/>
  <w:drawingGridVerticalSpacing w:val="156"/>
  <w:noPunctuationKerning/>
  <w:characterSpacingControl w:val="compressPunctuation"/>
  <w:compat>
    <w:spaceForUL/>
    <w:balanceSingleByteDoubleByteWidth/>
    <w:ulTrailSpace/>
    <w:doNotExpandShiftReturn/>
    <w:adjustLineHeightInTable/>
    <w:doNotWrapTextWithPunct/>
    <w:doNotUseEastAsianBreakRules/>
    <w:growAutofit/>
    <w:useFELayout/>
    <w:doNotUseIndentAsNumberingTabStop/>
    <w:useAltKinsokuLineBreakRules/>
    <w:splitPgBreakAndParaMark/>
  </w:compat>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lang w:val="en-US" w:bidi="ar-SA" w:eastAsia="zh-CN"/>
      </w:rPr>
    </w:rPrDefault>
    <w:pPrDefault>
      <w:pPr/>
    </w:pPrDefault>
  </w:docDefaults>
  <w:style w:type="paragraph" w:default="1" w:styleId="style0">
    <w:name w:val="Normal"/>
    <w:next w:val="style0"/>
    <w:qFormat/>
    <w:pPr>
      <w:widowControl w:val="false"/>
      <w:jc w:val="both"/>
    </w:pPr>
    <w:rPr>
      <w:rFonts w:cs="Arial"/>
      <w:kern w:val="2"/>
      <w:sz w:val="21"/>
      <w:szCs w:val="24"/>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2">
    <w:name w:val="footer"/>
    <w:basedOn w:val="style0"/>
    <w:next w:val="style32"/>
    <w:qFormat/>
    <w:pPr>
      <w:tabs>
        <w:tab w:val="center" w:leader="none" w:pos="4153"/>
        <w:tab w:val="right" w:leader="none" w:pos="8306"/>
      </w:tabs>
      <w:snapToGrid w:val="false"/>
      <w:jc w:val="left"/>
    </w:pPr>
    <w:rPr>
      <w:sz w:val="18"/>
      <w:szCs w:val="18"/>
    </w:rPr>
  </w:style>
  <w:style w:type="paragraph" w:styleId="style31">
    <w:name w:val="header"/>
    <w:basedOn w:val="style0"/>
    <w:next w:val="style31"/>
    <w:pPr>
      <w:pBdr>
        <w:bottom w:val="single" w:sz="6" w:space="1" w:color="auto"/>
      </w:pBdr>
      <w:tabs>
        <w:tab w:val="center" w:leader="none" w:pos="4153"/>
        <w:tab w:val="right" w:leader="none" w:pos="8306"/>
      </w:tabs>
      <w:snapToGrid w:val="false"/>
      <w:jc w:val="center"/>
    </w:pPr>
    <w:rPr>
      <w:sz w:val="18"/>
      <w:szCs w:val="18"/>
    </w:rPr>
  </w:style>
  <w:style w:type="character" w:styleId="style85">
    <w:name w:val="Hyperlink"/>
    <w:basedOn w:val="style65"/>
    <w:next w:val="style85"/>
    <w:qFormat/>
    <w:rPr>
      <w:color w:val="0000ff"/>
      <w:u w:val="single"/>
    </w:rPr>
  </w:style>
  <w:style w:type="table" w:styleId="style154">
    <w:name w:val="Table Grid"/>
    <w:basedOn w:val="style105"/>
    <w:next w:val="style154"/>
    <w:qFormat/>
    <w:uiPriority w:val="59"/>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94">
    <w:name w:val="Normal (Web)"/>
    <w:basedOn w:val="style0"/>
    <w:next w:val="style94"/>
    <w:pPr>
      <w:spacing w:before="100" w:beforeAutospacing="true" w:after="100" w:afterAutospacing="true"/>
      <w:jc w:val="left"/>
    </w:pPr>
    <w:rPr>
      <w:rFonts w:cs="Times New Roman" w:hint="eastAsia"/>
      <w:kern w:val="0"/>
      <w:sz w:val="24"/>
    </w:rPr>
  </w:style>
  <w:style w:type="character" w:styleId="style87">
    <w:name w:val="Strong"/>
    <w:basedOn w:val="style65"/>
    <w:next w:val="style87"/>
    <w:rPr>
      <w:rFonts w:ascii="Calibri" w:cs="Times New Roman" w:eastAsia="宋体" w:hAnsi="Calibri" w:hint="eastAsia"/>
      <w:b/>
    </w:rPr>
  </w:style>
  <w:style w:type="paragraph" w:styleId="style153">
    <w:name w:val="Balloon Text"/>
    <w:basedOn w:val="style0"/>
    <w:next w:val="style153"/>
    <w:link w:val="style4097"/>
    <w:uiPriority w:val="99"/>
    <w:pPr/>
    <w:rPr>
      <w:sz w:val="18"/>
      <w:szCs w:val="18"/>
    </w:rPr>
  </w:style>
  <w:style w:type="character" w:customStyle="1" w:styleId="style4097">
    <w:name w:val="批注框文本 Char"/>
    <w:basedOn w:val="style65"/>
    <w:next w:val="style4097"/>
    <w:link w:val="style153"/>
    <w:uiPriority w:val="99"/>
    <w:rPr>
      <w:rFonts w:cs="Arial"/>
      <w:kern w:val="2"/>
      <w:sz w:val="18"/>
      <w:szCs w:val="18"/>
    </w:rPr>
  </w:style>
  <w:style w:type="table" w:styleId="style167">
    <w:name w:val="Medium Grid 3"/>
    <w:basedOn w:val="style105"/>
    <w:next w:val="style167"/>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000000"/>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000000"/>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f81b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f81b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c0504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c0504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9bbb59"/>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9bbb59"/>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8064a2"/>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8064a2"/>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bacc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bacc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f7964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f7964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cPr>
      <w:tcBorders/>
      <w:shd w:val="clear" w:color="auto" w:fill="fde4d0"/>
    </w:tc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customXml" Target="../customXml/item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Words>3824</Words>
  <Pages>3</Pages>
  <Characters>3916</Characters>
  <Application>WPS Office</Application>
  <DocSecurity>0</DocSecurity>
  <Paragraphs>222</Paragraphs>
  <ScaleCrop>false</ScaleCrop>
  <Company>微软中国</Company>
  <LinksUpToDate>false</LinksUpToDate>
  <CharactersWithSpaces>3938</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2017-04-21T04:12:00Z</dcterms:created>
  <dc:creator>教育局大字室</dc:creator>
  <lastModifiedBy>OPPO R9m</lastModifiedBy>
  <lastPrinted>2017-04-06T03:33:00Z</lastPrinted>
  <dcterms:modified xsi:type="dcterms:W3CDTF">2018-10-12T07:39:29Z</dcterms:modified>
  <revision>26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