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AFB27">
      <w:pPr>
        <w:jc w:val="left"/>
        <w:rPr>
          <w:rFonts w:hint="eastAsia" w:ascii="宋体" w:hAnsi="宋体" w:cs="宋体"/>
          <w:b/>
          <w:bCs/>
          <w:spacing w:val="-6"/>
          <w:sz w:val="28"/>
          <w:szCs w:val="28"/>
          <w:lang w:val="en-US" w:eastAsia="zh-CN"/>
        </w:rPr>
      </w:pPr>
      <w:bookmarkStart w:id="0" w:name="_GoBack"/>
      <w:bookmarkEnd w:id="0"/>
      <w:r>
        <w:rPr>
          <w:rFonts w:hint="eastAsia" w:ascii="宋体" w:hAnsi="宋体" w:cs="宋体"/>
          <w:b/>
          <w:bCs/>
          <w:spacing w:val="-6"/>
          <w:sz w:val="28"/>
          <w:szCs w:val="28"/>
          <w:lang w:val="en-US" w:eastAsia="zh-CN"/>
        </w:rPr>
        <w:t>附件2</w:t>
      </w:r>
    </w:p>
    <w:tbl>
      <w:tblPr>
        <w:tblStyle w:val="7"/>
        <w:tblpPr w:leftFromText="180" w:rightFromText="180" w:vertAnchor="text" w:horzAnchor="page" w:tblpX="1874" w:tblpY="269"/>
        <w:tblOverlap w:val="never"/>
        <w:tblW w:w="82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386"/>
        <w:gridCol w:w="675"/>
        <w:gridCol w:w="6242"/>
        <w:gridCol w:w="492"/>
        <w:gridCol w:w="475"/>
      </w:tblGrid>
      <w:tr w14:paraId="64FD7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61" w:hRule="atLeast"/>
        </w:trPr>
        <w:tc>
          <w:tcPr>
            <w:tcW w:w="386" w:type="dxa"/>
            <w:shd w:val="clear" w:color="auto" w:fill="FFFFFF"/>
            <w:vAlign w:val="center"/>
          </w:tcPr>
          <w:p w14:paraId="49D02F25">
            <w:pPr>
              <w:widowControl/>
              <w:spacing w:line="360" w:lineRule="auto"/>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675" w:type="dxa"/>
            <w:vAlign w:val="center"/>
          </w:tcPr>
          <w:p w14:paraId="4AB6A8C7">
            <w:pPr>
              <w:widowControl/>
              <w:spacing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LED</w:t>
            </w:r>
          </w:p>
          <w:p w14:paraId="7D55D724">
            <w:pPr>
              <w:widowControl/>
              <w:spacing w:line="360" w:lineRule="auto"/>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显示屏</w:t>
            </w:r>
          </w:p>
          <w:p w14:paraId="70F74BDA">
            <w:pPr>
              <w:widowControl/>
              <w:spacing w:line="360" w:lineRule="auto"/>
              <w:jc w:val="center"/>
              <w:textAlignment w:val="center"/>
              <w:rPr>
                <w:rFonts w:hint="eastAsia" w:ascii="宋体" w:hAnsi="宋体" w:eastAsia="宋体" w:cs="宋体"/>
                <w:color w:val="auto"/>
                <w:sz w:val="21"/>
                <w:szCs w:val="21"/>
                <w:highlight w:val="none"/>
              </w:rPr>
            </w:pPr>
          </w:p>
        </w:tc>
        <w:tc>
          <w:tcPr>
            <w:tcW w:w="6242" w:type="dxa"/>
            <w:vAlign w:val="center"/>
          </w:tcPr>
          <w:p w14:paraId="71EC098A">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w:t>
            </w:r>
            <w:r>
              <w:rPr>
                <w:rFonts w:hint="eastAsia" w:ascii="宋体" w:hAnsi="宋体" w:cs="宋体"/>
                <w:color w:val="auto"/>
                <w:sz w:val="21"/>
                <w:szCs w:val="21"/>
                <w:highlight w:val="none"/>
                <w:lang w:val="en-US" w:eastAsia="zh-CN"/>
              </w:rPr>
              <w:t>面积不小于 5.63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环境限制要求</w:t>
            </w:r>
            <w:r>
              <w:rPr>
                <w:rFonts w:hint="eastAsia" w:ascii="宋体" w:hAnsi="宋体" w:eastAsia="宋体" w:cs="宋体"/>
                <w:color w:val="auto"/>
                <w:sz w:val="21"/>
                <w:szCs w:val="21"/>
                <w:highlight w:val="none"/>
              </w:rPr>
              <w:t>误差正负</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%之内</w:t>
            </w:r>
            <w:r>
              <w:rPr>
                <w:rFonts w:hint="eastAsia" w:ascii="宋体" w:hAnsi="宋体" w:eastAsia="宋体" w:cs="宋体"/>
                <w:color w:val="auto"/>
                <w:sz w:val="21"/>
                <w:szCs w:val="21"/>
                <w:highlight w:val="none"/>
                <w:lang w:eastAsia="zh-CN"/>
              </w:rPr>
              <w:t>；</w:t>
            </w:r>
          </w:p>
          <w:p w14:paraId="2F372D76">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屏体</w:t>
            </w:r>
            <w:r>
              <w:rPr>
                <w:rFonts w:hint="eastAsia" w:ascii="宋体" w:hAnsi="宋体" w:eastAsia="宋体" w:cs="宋体"/>
                <w:color w:val="auto"/>
                <w:sz w:val="21"/>
                <w:szCs w:val="21"/>
                <w:highlight w:val="none"/>
              </w:rPr>
              <w:t>刷新频率≥</w:t>
            </w:r>
            <w:r>
              <w:rPr>
                <w:rFonts w:hint="eastAsia" w:ascii="宋体" w:hAnsi="宋体" w:cs="宋体"/>
                <w:color w:val="auto"/>
                <w:sz w:val="21"/>
                <w:szCs w:val="21"/>
                <w:highlight w:val="none"/>
                <w:lang w:val="en-US" w:eastAsia="zh-CN"/>
              </w:rPr>
              <w:t>3840</w:t>
            </w:r>
            <w:r>
              <w:rPr>
                <w:rFonts w:hint="eastAsia" w:ascii="宋体" w:hAnsi="宋体" w:eastAsia="宋体" w:cs="宋体"/>
                <w:color w:val="auto"/>
                <w:sz w:val="21"/>
                <w:szCs w:val="21"/>
                <w:highlight w:val="none"/>
                <w:lang w:val="en-US" w:eastAsia="zh-CN"/>
              </w:rPr>
              <w:t>Hz；</w:t>
            </w:r>
          </w:p>
          <w:p w14:paraId="53817342">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前维护，</w:t>
            </w:r>
            <w:r>
              <w:rPr>
                <w:rFonts w:hint="eastAsia" w:ascii="宋体" w:hAnsi="宋体" w:eastAsia="宋体" w:cs="宋体"/>
                <w:color w:val="000000"/>
                <w:kern w:val="0"/>
                <w:sz w:val="21"/>
                <w:szCs w:val="21"/>
                <w:highlight w:val="none"/>
                <w:lang w:val="en-US" w:eastAsia="zh-CN" w:bidi="ar"/>
              </w:rPr>
              <w:t>模组、电源以及系统卡等皆可从前面取出</w:t>
            </w:r>
            <w:r>
              <w:rPr>
                <w:rFonts w:hint="eastAsia" w:ascii="宋体" w:hAnsi="宋体" w:cs="宋体"/>
                <w:color w:val="auto"/>
                <w:sz w:val="21"/>
                <w:szCs w:val="21"/>
                <w:highlight w:val="none"/>
                <w:lang w:val="en-US" w:eastAsia="zh-CN"/>
              </w:rPr>
              <w:t>。</w:t>
            </w:r>
          </w:p>
          <w:p w14:paraId="2F883301">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像素点</w:t>
            </w:r>
            <w:r>
              <w:rPr>
                <w:rFonts w:hint="eastAsia" w:ascii="宋体" w:hAnsi="宋体" w:cs="宋体"/>
                <w:color w:val="auto"/>
                <w:sz w:val="21"/>
                <w:szCs w:val="21"/>
                <w:highlight w:val="none"/>
                <w:lang w:val="en-US" w:eastAsia="zh-CN"/>
              </w:rPr>
              <w:t>间距≤1.53</w:t>
            </w:r>
            <w:r>
              <w:rPr>
                <w:rFonts w:hint="eastAsia" w:ascii="宋体" w:hAnsi="宋体" w:eastAsia="宋体" w:cs="宋体"/>
                <w:color w:val="auto"/>
                <w:sz w:val="21"/>
                <w:szCs w:val="21"/>
                <w:highlight w:val="none"/>
              </w:rPr>
              <w:t>mm，物理密度≥</w:t>
            </w:r>
            <w:r>
              <w:rPr>
                <w:rFonts w:hint="eastAsia" w:ascii="宋体" w:hAnsi="宋体" w:eastAsia="宋体" w:cs="宋体"/>
                <w:color w:val="auto"/>
                <w:sz w:val="21"/>
                <w:szCs w:val="21"/>
                <w:highlight w:val="none"/>
                <w:lang w:val="en-US" w:eastAsia="zh-CN"/>
              </w:rPr>
              <w:t>427185</w:t>
            </w:r>
            <w:r>
              <w:rPr>
                <w:rFonts w:hint="eastAsia" w:ascii="宋体" w:hAnsi="宋体" w:eastAsia="宋体" w:cs="宋体"/>
                <w:color w:val="auto"/>
                <w:sz w:val="21"/>
                <w:szCs w:val="21"/>
                <w:highlight w:val="none"/>
              </w:rPr>
              <w:t>点/㎡；</w:t>
            </w:r>
          </w:p>
          <w:p w14:paraId="2E068228">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Hans"/>
              </w:rPr>
              <w:t>灯管</w:t>
            </w:r>
            <w:r>
              <w:rPr>
                <w:rFonts w:hint="eastAsia" w:ascii="宋体" w:hAnsi="宋体" w:eastAsia="宋体" w:cs="宋体"/>
                <w:color w:val="auto"/>
                <w:sz w:val="21"/>
                <w:szCs w:val="21"/>
                <w:highlight w:val="none"/>
              </w:rPr>
              <w:t>波长范围：单颗灯珠红灯≤4nm，蓝绿灯≤3nm；</w:t>
            </w:r>
          </w:p>
          <w:p w14:paraId="7CD52690">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★PCB板采用多层电路板沉金工艺，灯驱合一，具备消隐、节能功能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板厚≥1.6mm，TG≥150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铜厚≥1盎司</w:t>
            </w:r>
          </w:p>
          <w:p w14:paraId="286925CE">
            <w:pPr>
              <w:pStyle w:val="10"/>
              <w:numPr>
                <w:ilvl w:val="0"/>
                <w:numId w:val="1"/>
              </w:numPr>
              <w:spacing w:line="360" w:lineRule="auto"/>
              <w:ind w:left="425" w:leftChars="0" w:hanging="425" w:firstLineChars="0"/>
              <w:rPr>
                <w:sz w:val="21"/>
                <w:szCs w:val="21"/>
                <w:highlight w:val="none"/>
              </w:rPr>
            </w:pPr>
            <w:r>
              <w:rPr>
                <w:rFonts w:hint="eastAsia" w:ascii="宋体" w:hAnsi="宋体" w:eastAsia="宋体" w:cs="宋体"/>
                <w:color w:val="auto"/>
                <w:sz w:val="21"/>
                <w:szCs w:val="21"/>
                <w:highlight w:val="none"/>
              </w:rPr>
              <w:t>LED灯珠抗拉机械强度测试：≥1Kg；</w:t>
            </w:r>
          </w:p>
          <w:p w14:paraId="4CE760BF">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000000"/>
                <w:kern w:val="0"/>
                <w:sz w:val="21"/>
                <w:szCs w:val="21"/>
                <w:highlight w:val="none"/>
                <w:lang w:val="en-US" w:eastAsia="zh-Hans" w:bidi="ar"/>
              </w:rPr>
              <w:t>自</w:t>
            </w:r>
            <w:r>
              <w:rPr>
                <w:rFonts w:hint="eastAsia" w:ascii="宋体" w:hAnsi="宋体" w:eastAsia="宋体" w:cs="宋体"/>
                <w:color w:val="000000"/>
                <w:kern w:val="0"/>
                <w:sz w:val="21"/>
                <w:szCs w:val="21"/>
                <w:highlight w:val="none"/>
                <w:lang w:val="en-US" w:eastAsia="zh-CN" w:bidi="ar"/>
              </w:rPr>
              <w:t xml:space="preserve">带测试按键，可实现红、绿、蓝、白四种单色显示，横扫、竖扫等方式扫描显示，信 号指示灯快闪证明信号正常，电源指示灯常亮标示供电正常 </w:t>
            </w:r>
          </w:p>
          <w:p w14:paraId="65BB8B55">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★支持HDR高动态范围图像技术显示</w:t>
            </w:r>
            <w:r>
              <w:rPr>
                <w:rFonts w:hint="eastAsia" w:ascii="宋体" w:hAnsi="宋体" w:cs="宋体"/>
                <w:color w:val="auto"/>
                <w:sz w:val="21"/>
                <w:szCs w:val="21"/>
                <w:highlight w:val="none"/>
                <w:lang w:eastAsia="zh-CN"/>
              </w:rPr>
              <w:t>，符合4K超高清显示认证与HDR 显示认证要求</w:t>
            </w:r>
          </w:p>
          <w:p w14:paraId="0C29B781">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具有视频降</w:t>
            </w:r>
            <w:r>
              <w:rPr>
                <w:rFonts w:hint="eastAsia" w:ascii="宋体" w:hAnsi="宋体" w:eastAsia="宋体" w:cs="宋体"/>
                <w:color w:val="auto"/>
                <w:sz w:val="21"/>
                <w:szCs w:val="21"/>
                <w:highlight w:val="none"/>
              </w:rPr>
              <w:t>噪，运动补偿，色彩变换等图像处理功能；</w:t>
            </w:r>
          </w:p>
          <w:p w14:paraId="1C21FB89">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支持屏体拼缝亮线、暗线校正；</w:t>
            </w:r>
          </w:p>
          <w:p w14:paraId="179CD132">
            <w:pPr>
              <w:pStyle w:val="10"/>
              <w:numPr>
                <w:ilvl w:val="0"/>
                <w:numId w:val="1"/>
              </w:numPr>
              <w:spacing w:line="360" w:lineRule="auto"/>
              <w:ind w:left="425" w:leftChars="0" w:hanging="425" w:firstLineChars="0"/>
              <w:rPr>
                <w:sz w:val="21"/>
                <w:szCs w:val="21"/>
                <w:highlight w:val="none"/>
              </w:rPr>
            </w:pPr>
            <w:r>
              <w:rPr>
                <w:rFonts w:hint="eastAsia" w:ascii="宋体" w:hAnsi="宋体" w:eastAsia="宋体" w:cs="宋体"/>
                <w:color w:val="auto"/>
                <w:sz w:val="21"/>
                <w:szCs w:val="21"/>
                <w:highlight w:val="none"/>
              </w:rPr>
              <w:t>电磁辐射（EMC）信息技术设备（ITE）B级；</w:t>
            </w:r>
          </w:p>
          <w:p w14:paraId="15382E89">
            <w:pPr>
              <w:pStyle w:val="10"/>
              <w:numPr>
                <w:ilvl w:val="0"/>
                <w:numId w:val="1"/>
              </w:numPr>
              <w:spacing w:line="360" w:lineRule="auto"/>
              <w:ind w:left="425" w:leftChars="0" w:hanging="425" w:firstLineChars="0"/>
              <w:rPr>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000000"/>
                <w:kern w:val="0"/>
                <w:sz w:val="21"/>
                <w:szCs w:val="21"/>
                <w:highlight w:val="none"/>
                <w:lang w:val="en-US" w:eastAsia="zh-CN" w:bidi="ar"/>
              </w:rPr>
              <w:t>屏体及程序具有加密设计，不易被破解操控，未经加密调试的计算机无法直接驱动大屏显示。</w:t>
            </w:r>
          </w:p>
          <w:p w14:paraId="05C913A3">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视觉舒适度等级满足VICO 1级</w:t>
            </w:r>
          </w:p>
          <w:p w14:paraId="1D99843C">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单元平整度：≤0.1mm； </w:t>
            </w:r>
          </w:p>
          <w:p w14:paraId="6A232BC0">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亮度均匀性：≥98%；</w:t>
            </w:r>
          </w:p>
          <w:p w14:paraId="7A66D5B9">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显示单元色域：≥120%；</w:t>
            </w:r>
          </w:p>
          <w:p w14:paraId="4AAE35D3">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色度均匀性：±0.003Cx，Cy之内；</w:t>
            </w:r>
          </w:p>
          <w:p w14:paraId="31C25D60">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亮度：≥</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rPr>
              <w:t>cd/㎡（0-1000可任意调节）；</w:t>
            </w:r>
          </w:p>
          <w:p w14:paraId="07CC843B">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色温可调范围：1000k</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10000k可调；</w:t>
            </w:r>
          </w:p>
          <w:p w14:paraId="2AD022BB">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对比度：≥8000:1；</w:t>
            </w:r>
          </w:p>
          <w:p w14:paraId="15110F9F">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显示屏灰度处理等级：16位；</w:t>
            </w:r>
          </w:p>
          <w:p w14:paraId="344D64BC">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灰度等级：65536；</w:t>
            </w:r>
          </w:p>
          <w:p w14:paraId="014E954E">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驱动方式：恒流驱动；</w:t>
            </w:r>
          </w:p>
          <w:p w14:paraId="784C4280">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平均无故障时间（MTTR）：≧1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000h；</w:t>
            </w:r>
          </w:p>
          <w:p w14:paraId="1E7001A2">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寿命典型值：100000h；</w:t>
            </w:r>
          </w:p>
          <w:p w14:paraId="1D25C9A7">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中性盐雾试验：符合盐雾10级要求，经盐雾试验后，外壳应无明显腐蚀现象，样品应能正常工作。</w:t>
            </w:r>
          </w:p>
          <w:p w14:paraId="74360D6F">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湿热试验：按GB/T2423.3-2006样品不带包装不通电情况下，在温度40±2℃、湿度 93±2%的试验箱内放置48h，试验结束恢复至室温后，对样品通电测试，应能正常工作。</w:t>
            </w:r>
          </w:p>
          <w:p w14:paraId="1A4B5D70">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噪音测试：在标准大气压，常温常湿条件下，屏前后左右各1m处噪声声压≤3.6db； </w:t>
            </w:r>
          </w:p>
          <w:p w14:paraId="2CB39FB6">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★阻燃测试：按GB/T 5169.5-2008对样品进行火焰测试，时间为10s，移开火焰后，样品上的火焰或灼热30s内熄灭。</w:t>
            </w:r>
          </w:p>
          <w:p w14:paraId="2E563AD0">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绝缘电阻实验：电源插头或电源引入端子与外壳裸露金属部件之间的绝缘电阻在正常大气条件下应≧100MΩ，湿热条件下应≧2MΩ；</w:t>
            </w:r>
          </w:p>
          <w:p w14:paraId="709AFF37">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蓝光检测：需通过蓝光危害评估检测为无危害类；</w:t>
            </w:r>
          </w:p>
          <w:p w14:paraId="7D32607F">
            <w:pPr>
              <w:pStyle w:val="10"/>
              <w:numPr>
                <w:ilvl w:val="0"/>
                <w:numId w:val="1"/>
              </w:numPr>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具有图像智能化增强处理技术（提供由中华人民共和国国家版权局颁发的证书）</w:t>
            </w:r>
          </w:p>
          <w:p w14:paraId="4BF30543">
            <w:pPr>
              <w:pStyle w:val="10"/>
              <w:numPr>
                <w:ilvl w:val="0"/>
                <w:numId w:val="1"/>
              </w:numPr>
              <w:spacing w:line="360" w:lineRule="auto"/>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具有蓝光护眼多重过滤保护系统（提供由中华人民共和国国家版权局颁发的证书）</w:t>
            </w:r>
          </w:p>
          <w:p w14:paraId="3A84FC29">
            <w:pPr>
              <w:pStyle w:val="10"/>
              <w:numPr>
                <w:ilvl w:val="0"/>
                <w:numId w:val="1"/>
              </w:numPr>
              <w:spacing w:line="360" w:lineRule="auto"/>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具有LED显示屏高光效长寿命驱动参数证明（提供由中华人民共和国国家版权局颁发的证书）</w:t>
            </w:r>
          </w:p>
          <w:p w14:paraId="0115AD2E">
            <w:pPr>
              <w:pStyle w:val="10"/>
              <w:numPr>
                <w:ilvl w:val="0"/>
                <w:numId w:val="1"/>
              </w:numPr>
              <w:spacing w:line="360" w:lineRule="auto"/>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★所投产品需通过中国质量认证中心的节能认证。（需提供“中国节能产品认证证书”） </w:t>
            </w:r>
          </w:p>
          <w:p w14:paraId="0E7966AA">
            <w:pPr>
              <w:pStyle w:val="10"/>
              <w:numPr>
                <w:ilvl w:val="0"/>
                <w:numId w:val="1"/>
              </w:numPr>
              <w:spacing w:line="360" w:lineRule="auto"/>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CNAS、ilac-MRA</w:t>
            </w:r>
            <w:r>
              <w:rPr>
                <w:rFonts w:hint="eastAsia" w:ascii="宋体" w:hAnsi="宋体" w:cs="宋体"/>
                <w:color w:val="auto"/>
                <w:sz w:val="21"/>
                <w:szCs w:val="21"/>
                <w:highlight w:val="none"/>
                <w:lang w:val="en-US" w:eastAsia="zh-CN"/>
              </w:rPr>
              <w:t>及CMA认证</w:t>
            </w:r>
            <w:r>
              <w:rPr>
                <w:rFonts w:hint="eastAsia" w:ascii="宋体" w:hAnsi="宋体" w:eastAsia="宋体" w:cs="宋体"/>
                <w:color w:val="auto"/>
                <w:sz w:val="21"/>
                <w:szCs w:val="21"/>
                <w:highlight w:val="none"/>
                <w:lang w:val="en-US" w:eastAsia="zh-CN"/>
              </w:rPr>
              <w:t>标识的</w:t>
            </w:r>
            <w:r>
              <w:rPr>
                <w:rFonts w:hint="eastAsia" w:ascii="宋体" w:hAnsi="宋体" w:eastAsia="宋体" w:cs="宋体"/>
                <w:color w:val="auto"/>
                <w:sz w:val="21"/>
                <w:szCs w:val="21"/>
                <w:highlight w:val="none"/>
              </w:rPr>
              <w:t>权威第三方检测机构出具的检测报告。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提供加盖鲜章的复印件方有效，另原件备查</w:t>
            </w:r>
            <w:r>
              <w:rPr>
                <w:rFonts w:hint="eastAsia" w:ascii="宋体" w:hAnsi="宋体" w:eastAsia="宋体" w:cs="宋体"/>
                <w:color w:val="auto"/>
                <w:sz w:val="21"/>
                <w:szCs w:val="21"/>
                <w:highlight w:val="none"/>
                <w:lang w:eastAsia="zh-CN"/>
              </w:rPr>
              <w:t>）</w:t>
            </w:r>
          </w:p>
        </w:tc>
        <w:tc>
          <w:tcPr>
            <w:tcW w:w="492" w:type="dxa"/>
            <w:shd w:val="clear" w:color="auto" w:fill="FFFFFF"/>
            <w:vAlign w:val="center"/>
          </w:tcPr>
          <w:p w14:paraId="7840D8F5">
            <w:pPr>
              <w:widowControl/>
              <w:spacing w:line="360" w:lineRule="auto"/>
              <w:jc w:val="center"/>
              <w:textAlignment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套</w:t>
            </w:r>
          </w:p>
        </w:tc>
        <w:tc>
          <w:tcPr>
            <w:tcW w:w="475" w:type="dxa"/>
            <w:shd w:val="clear" w:color="auto" w:fill="FFFFFF"/>
            <w:vAlign w:val="center"/>
          </w:tcPr>
          <w:p w14:paraId="48F9C5A7">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r>
      <w:tr w14:paraId="1F9BA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96" w:hRule="atLeast"/>
        </w:trPr>
        <w:tc>
          <w:tcPr>
            <w:tcW w:w="386" w:type="dxa"/>
            <w:shd w:val="clear" w:color="auto" w:fill="FFFFFF"/>
            <w:vAlign w:val="center"/>
          </w:tcPr>
          <w:p w14:paraId="67C871A3">
            <w:pPr>
              <w:widowControl/>
              <w:spacing w:line="360" w:lineRule="auto"/>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675" w:type="dxa"/>
            <w:vAlign w:val="center"/>
          </w:tcPr>
          <w:p w14:paraId="71D1D4C1">
            <w:pPr>
              <w:pStyle w:val="6"/>
              <w:spacing w:line="360" w:lineRule="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视频</w:t>
            </w:r>
            <w:r>
              <w:rPr>
                <w:rFonts w:hint="eastAsia" w:ascii="宋体" w:hAnsi="宋体" w:cs="宋体"/>
                <w:b w:val="0"/>
                <w:bCs/>
                <w:sz w:val="21"/>
                <w:szCs w:val="21"/>
                <w:lang w:val="en-US" w:eastAsia="zh-Hans"/>
              </w:rPr>
              <w:t>处理器</w:t>
            </w:r>
          </w:p>
        </w:tc>
        <w:tc>
          <w:tcPr>
            <w:tcW w:w="6242" w:type="dxa"/>
            <w:vAlign w:val="top"/>
          </w:tcPr>
          <w:p w14:paraId="491FBAE8">
            <w:pPr>
              <w:numPr>
                <w:ilvl w:val="0"/>
                <w:numId w:val="2"/>
              </w:numPr>
              <w:spacing w:line="240"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全数字高清接口DVI×1、HDMI1.3×3。</w:t>
            </w:r>
          </w:p>
          <w:p w14:paraId="40592E31">
            <w:pPr>
              <w:numPr>
                <w:ilvl w:val="0"/>
                <w:numId w:val="2"/>
              </w:numPr>
              <w:spacing w:line="240"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支持4路千兆网口输出,可作为大发送使用。</w:t>
            </w:r>
          </w:p>
          <w:p w14:paraId="51BF2480">
            <w:pPr>
              <w:numPr>
                <w:ilvl w:val="0"/>
                <w:numId w:val="2"/>
              </w:numPr>
              <w:spacing w:line="240"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最大带载260万像素，每个网口可做独立带载显示，输出单网口宽可达3840像素，最高可达3840像素（提供CNAS第三方检测报告）</w:t>
            </w:r>
          </w:p>
          <w:p w14:paraId="21A1FD91">
            <w:pPr>
              <w:numPr>
                <w:ilvl w:val="0"/>
                <w:numId w:val="2"/>
              </w:numPr>
              <w:spacing w:line="240" w:lineRule="auto"/>
              <w:ind w:left="0" w:leftChars="0" w:firstLine="0" w:firstLineChars="0"/>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支持视频源任意切换，任意缩放；</w:t>
            </w:r>
          </w:p>
          <w:p w14:paraId="35674464">
            <w:pPr>
              <w:numPr>
                <w:ilvl w:val="0"/>
                <w:numId w:val="2"/>
              </w:numPr>
              <w:spacing w:line="240" w:lineRule="auto"/>
              <w:ind w:left="0" w:leftChars="0" w:firstLine="0" w:firstLineChars="0"/>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图像瞬间切换或淡入淡出，保障画面显示不黑屏</w:t>
            </w:r>
          </w:p>
          <w:p w14:paraId="6E5AF093">
            <w:pPr>
              <w:numPr>
                <w:ilvl w:val="0"/>
                <w:numId w:val="2"/>
              </w:numPr>
              <w:spacing w:line="240" w:lineRule="auto"/>
              <w:ind w:left="0" w:leftChars="0" w:firstLine="0" w:firstLineChars="0"/>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支持不规则带载，支持亮度调节，支持RS232串口协议控制；</w:t>
            </w:r>
          </w:p>
          <w:p w14:paraId="16257378">
            <w:pPr>
              <w:numPr>
                <w:ilvl w:val="0"/>
                <w:numId w:val="2"/>
              </w:numPr>
              <w:spacing w:line="240" w:lineRule="auto"/>
              <w:ind w:left="0" w:leftChars="0" w:firstLine="0" w:firstLineChars="0"/>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画面窗口位置、大小可自由调节</w:t>
            </w:r>
          </w:p>
        </w:tc>
        <w:tc>
          <w:tcPr>
            <w:tcW w:w="492" w:type="dxa"/>
            <w:shd w:val="clear" w:color="auto" w:fill="FFFFFF"/>
            <w:vAlign w:val="center"/>
          </w:tcPr>
          <w:p w14:paraId="0B275441">
            <w:pPr>
              <w:widowControl/>
              <w:spacing w:line="360" w:lineRule="auto"/>
              <w:jc w:val="center"/>
              <w:textAlignment w:val="center"/>
              <w:rPr>
                <w:rFonts w:hint="eastAsia" w:ascii="宋体" w:hAnsi="宋体" w:cs="宋体"/>
                <w:kern w:val="2"/>
                <w:sz w:val="21"/>
                <w:szCs w:val="21"/>
                <w:lang w:val="en-US" w:eastAsia="zh-CN" w:bidi="ar-SA"/>
              </w:rPr>
            </w:pPr>
            <w:r>
              <w:rPr>
                <w:rFonts w:hint="eastAsia" w:ascii="宋体" w:hAnsi="宋体" w:cs="宋体"/>
                <w:kern w:val="2"/>
                <w:sz w:val="21"/>
                <w:szCs w:val="21"/>
                <w:lang w:val="en-US" w:eastAsia="zh-Hans" w:bidi="ar-SA"/>
              </w:rPr>
              <w:t>台</w:t>
            </w:r>
          </w:p>
        </w:tc>
        <w:tc>
          <w:tcPr>
            <w:tcW w:w="475" w:type="dxa"/>
            <w:shd w:val="clear" w:color="auto" w:fill="FFFFFF"/>
            <w:vAlign w:val="center"/>
          </w:tcPr>
          <w:p w14:paraId="7D961E36">
            <w:pPr>
              <w:widowControl/>
              <w:spacing w:line="360" w:lineRule="auto"/>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r>
      <w:tr w14:paraId="373A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386" w:type="dxa"/>
            <w:shd w:val="clear" w:color="auto" w:fill="FFFFFF"/>
            <w:vAlign w:val="center"/>
          </w:tcPr>
          <w:p w14:paraId="7E7A6420">
            <w:pPr>
              <w:pStyle w:val="11"/>
              <w:spacing w:line="360" w:lineRule="auto"/>
              <w:ind w:firstLine="210" w:firstLineChars="100"/>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675" w:type="dxa"/>
            <w:vAlign w:val="center"/>
          </w:tcPr>
          <w:p w14:paraId="1168B5FF">
            <w:pPr>
              <w:widowControl/>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显示屏钢结、边框及装饰</w:t>
            </w:r>
          </w:p>
        </w:tc>
        <w:tc>
          <w:tcPr>
            <w:tcW w:w="6242" w:type="dxa"/>
            <w:vAlign w:val="center"/>
          </w:tcPr>
          <w:p w14:paraId="3AF14A32">
            <w:pPr>
              <w:numPr>
                <w:ilvl w:val="0"/>
                <w:numId w:val="3"/>
              </w:numPr>
              <w:spacing w:line="360" w:lineRule="auto"/>
              <w:ind w:left="0" w:leftChars="0" w:firstLine="40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钢结构制作按照《钢结构施工质量验收规范》GB50205-2001进行制作,钢材加工前进行矫正,使之平直,以免影响制作精度</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对接焊缝为坡口焊,焊缝等级不低于二级</w:t>
            </w:r>
            <w:r>
              <w:rPr>
                <w:rFonts w:hint="eastAsia" w:ascii="宋体" w:hAnsi="宋体" w:eastAsia="宋体" w:cs="宋体"/>
                <w:color w:val="000000"/>
                <w:kern w:val="0"/>
                <w:sz w:val="21"/>
                <w:szCs w:val="21"/>
                <w:lang w:eastAsia="zh-CN" w:bidi="ar"/>
              </w:rPr>
              <w:t>；</w:t>
            </w:r>
          </w:p>
          <w:p w14:paraId="35076500">
            <w:pPr>
              <w:numPr>
                <w:ilvl w:val="0"/>
                <w:numId w:val="3"/>
              </w:numPr>
              <w:spacing w:line="360" w:lineRule="auto"/>
              <w:ind w:left="0" w:leftChars="0" w:firstLine="400" w:firstLineChars="0"/>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外框应结合现场环境特点设计，精致美观。</w:t>
            </w:r>
          </w:p>
          <w:p w14:paraId="0274144C">
            <w:pPr>
              <w:numPr>
                <w:ilvl w:val="0"/>
                <w:numId w:val="3"/>
              </w:numPr>
              <w:spacing w:line="360" w:lineRule="auto"/>
              <w:ind w:left="0" w:leftChars="0" w:firstLine="40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bidi="ar"/>
              </w:rPr>
              <w:t>屏体外装饰由耐腐蚀性和阻燃性的材料制作，坚固耐用。</w:t>
            </w:r>
          </w:p>
        </w:tc>
        <w:tc>
          <w:tcPr>
            <w:tcW w:w="492" w:type="dxa"/>
            <w:shd w:val="clear" w:color="auto" w:fill="FFFFFF"/>
            <w:vAlign w:val="center"/>
          </w:tcPr>
          <w:p w14:paraId="5AB73649">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平米</w:t>
            </w:r>
          </w:p>
        </w:tc>
        <w:tc>
          <w:tcPr>
            <w:tcW w:w="475" w:type="dxa"/>
            <w:shd w:val="clear" w:color="auto" w:fill="FFFFFF"/>
            <w:vAlign w:val="center"/>
          </w:tcPr>
          <w:p w14:paraId="461C93CA">
            <w:pPr>
              <w:widowControl/>
              <w:spacing w:line="360" w:lineRule="auto"/>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5.88</w:t>
            </w:r>
          </w:p>
        </w:tc>
      </w:tr>
      <w:tr w14:paraId="7471C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40" w:hRule="atLeast"/>
        </w:trPr>
        <w:tc>
          <w:tcPr>
            <w:tcW w:w="386" w:type="dxa"/>
            <w:shd w:val="clear" w:color="auto" w:fill="FFFFFF"/>
            <w:vAlign w:val="center"/>
          </w:tcPr>
          <w:p w14:paraId="74F1847F">
            <w:pPr>
              <w:widowControl/>
              <w:spacing w:line="360" w:lineRule="auto"/>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rPr>
              <w:t>4</w:t>
            </w:r>
          </w:p>
        </w:tc>
        <w:tc>
          <w:tcPr>
            <w:tcW w:w="675" w:type="dxa"/>
            <w:vAlign w:val="center"/>
          </w:tcPr>
          <w:p w14:paraId="3108EE0F">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安装调试</w:t>
            </w:r>
          </w:p>
        </w:tc>
        <w:tc>
          <w:tcPr>
            <w:tcW w:w="6242" w:type="dxa"/>
            <w:vAlign w:val="center"/>
          </w:tcPr>
          <w:p w14:paraId="3CAAD827">
            <w:pPr>
              <w:widowControl/>
              <w:spacing w:line="360" w:lineRule="auto"/>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投标人需派具有经验的调试工程师将显示屏至最佳状态，各项指标和效果均符合甲方要求。</w:t>
            </w:r>
          </w:p>
        </w:tc>
        <w:tc>
          <w:tcPr>
            <w:tcW w:w="492" w:type="dxa"/>
            <w:shd w:val="clear" w:color="auto" w:fill="FFFFFF"/>
            <w:vAlign w:val="center"/>
          </w:tcPr>
          <w:p w14:paraId="09B38BAD">
            <w:pPr>
              <w:widowControl/>
              <w:spacing w:line="360" w:lineRule="auto"/>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项</w:t>
            </w:r>
          </w:p>
        </w:tc>
        <w:tc>
          <w:tcPr>
            <w:tcW w:w="475" w:type="dxa"/>
            <w:shd w:val="clear" w:color="auto" w:fill="FFFFFF"/>
            <w:vAlign w:val="center"/>
          </w:tcPr>
          <w:p w14:paraId="0E63DEEF">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0EEF9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386" w:type="dxa"/>
            <w:shd w:val="clear" w:color="auto" w:fill="FFFFFF"/>
            <w:vAlign w:val="center"/>
          </w:tcPr>
          <w:p w14:paraId="23D77FFE">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5</w:t>
            </w:r>
          </w:p>
        </w:tc>
        <w:tc>
          <w:tcPr>
            <w:tcW w:w="675" w:type="dxa"/>
            <w:vAlign w:val="center"/>
          </w:tcPr>
          <w:p w14:paraId="243F8AFD">
            <w:pPr>
              <w:widowControl/>
              <w:spacing w:line="360" w:lineRule="auto"/>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综合布线</w:t>
            </w:r>
          </w:p>
        </w:tc>
        <w:tc>
          <w:tcPr>
            <w:tcW w:w="6242" w:type="dxa"/>
            <w:vAlign w:val="center"/>
          </w:tcPr>
          <w:p w14:paraId="21852A2D">
            <w:pPr>
              <w:widowControl/>
              <w:spacing w:line="360" w:lineRule="auto"/>
              <w:jc w:val="left"/>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满足现场显示屏正常工作所需的强电电缆，网络光纤等的铺设，所有线材 必须为国标知名品牌。线缆铺设采用防锈铁管穿线，具备条件的可以借用现有桥架。</w:t>
            </w:r>
          </w:p>
        </w:tc>
        <w:tc>
          <w:tcPr>
            <w:tcW w:w="492" w:type="dxa"/>
            <w:shd w:val="clear" w:color="auto" w:fill="FFFFFF"/>
            <w:vAlign w:val="center"/>
          </w:tcPr>
          <w:p w14:paraId="5F956196">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项</w:t>
            </w:r>
          </w:p>
        </w:tc>
        <w:tc>
          <w:tcPr>
            <w:tcW w:w="475" w:type="dxa"/>
            <w:shd w:val="clear" w:color="auto" w:fill="FFFFFF"/>
            <w:vAlign w:val="center"/>
          </w:tcPr>
          <w:p w14:paraId="7D3399D4">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w:t>
            </w:r>
          </w:p>
        </w:tc>
      </w:tr>
    </w:tbl>
    <w:p w14:paraId="59AD0C58"/>
    <w:p w14:paraId="6A3DDF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A256E"/>
    <w:multiLevelType w:val="singleLevel"/>
    <w:tmpl w:val="DB6A256E"/>
    <w:lvl w:ilvl="0" w:tentative="0">
      <w:start w:val="1"/>
      <w:numFmt w:val="decimal"/>
      <w:suff w:val="nothing"/>
      <w:lvlText w:val="%1．"/>
      <w:lvlJc w:val="left"/>
      <w:pPr>
        <w:ind w:left="0" w:firstLine="400"/>
      </w:pPr>
      <w:rPr>
        <w:rFonts w:hint="default"/>
      </w:rPr>
    </w:lvl>
  </w:abstractNum>
  <w:abstractNum w:abstractNumId="1">
    <w:nsid w:val="24A4B67F"/>
    <w:multiLevelType w:val="singleLevel"/>
    <w:tmpl w:val="24A4B67F"/>
    <w:lvl w:ilvl="0" w:tentative="0">
      <w:start w:val="1"/>
      <w:numFmt w:val="decimal"/>
      <w:lvlText w:val="%1."/>
      <w:lvlJc w:val="left"/>
      <w:pPr>
        <w:tabs>
          <w:tab w:val="left" w:pos="312"/>
        </w:tabs>
      </w:pPr>
    </w:lvl>
  </w:abstractNum>
  <w:abstractNum w:abstractNumId="2">
    <w:nsid w:val="2BDC4EE8"/>
    <w:multiLevelType w:val="singleLevel"/>
    <w:tmpl w:val="2BDC4EE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F2A4F3B"/>
    <w:rsid w:val="0AC70E38"/>
    <w:rsid w:val="0D6C1913"/>
    <w:rsid w:val="0F2A4F3B"/>
    <w:rsid w:val="0FCC70AF"/>
    <w:rsid w:val="105C3D4F"/>
    <w:rsid w:val="149C12C1"/>
    <w:rsid w:val="1C85539D"/>
    <w:rsid w:val="1F4A5F8A"/>
    <w:rsid w:val="21313A7D"/>
    <w:rsid w:val="26830856"/>
    <w:rsid w:val="268A3AF4"/>
    <w:rsid w:val="28881C65"/>
    <w:rsid w:val="2D41674C"/>
    <w:rsid w:val="392D1322"/>
    <w:rsid w:val="3BAD0759"/>
    <w:rsid w:val="47D44777"/>
    <w:rsid w:val="480F2CC9"/>
    <w:rsid w:val="4AF51206"/>
    <w:rsid w:val="4C1B6113"/>
    <w:rsid w:val="55020B76"/>
    <w:rsid w:val="567C6679"/>
    <w:rsid w:val="586E768E"/>
    <w:rsid w:val="5CD07C61"/>
    <w:rsid w:val="69A41463"/>
    <w:rsid w:val="6FA34820"/>
    <w:rsid w:val="72E1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6">
    <w:name w:val="Title"/>
    <w:basedOn w:val="1"/>
    <w:qFormat/>
    <w:uiPriority w:val="0"/>
    <w:pPr>
      <w:jc w:val="center"/>
      <w:outlineLvl w:val="0"/>
    </w:pPr>
    <w:rPr>
      <w:rFonts w:ascii="Arial" w:hAnsi="Arial"/>
      <w:b/>
      <w:sz w:val="32"/>
    </w:rPr>
  </w:style>
  <w:style w:type="character" w:styleId="9">
    <w:name w:val="Hyperlink"/>
    <w:qFormat/>
    <w:uiPriority w:val="99"/>
    <w:rPr>
      <w:color w:val="0368A8"/>
      <w:u w:val="none"/>
    </w:rPr>
  </w:style>
  <w:style w:type="paragraph" w:styleId="10">
    <w:name w:val="List Paragraph"/>
    <w:basedOn w:val="1"/>
    <w:autoRedefine/>
    <w:qFormat/>
    <w:uiPriority w:val="34"/>
    <w:pPr>
      <w:ind w:firstLine="420" w:firstLineChars="200"/>
    </w:pPr>
  </w:style>
  <w:style w:type="paragraph" w:customStyle="1" w:styleId="11">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2488</Words>
  <Characters>2892</Characters>
  <Lines>0</Lines>
  <Paragraphs>0</Paragraphs>
  <TotalTime>7</TotalTime>
  <ScaleCrop>false</ScaleCrop>
  <LinksUpToDate>false</LinksUpToDate>
  <CharactersWithSpaces>2914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2025-10-15T07:26:00Z</dcterms:created>
  <dc:creator>YLK</dc:creator>
  <cp:lastModifiedBy>L</cp:lastModifiedBy>
  <dcterms:modified xsi:type="dcterms:W3CDTF">2025-12-03T04:18:26Z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44565D0729FE4862BFAD37C7CC4AA9A1_13</vt:lpwstr>
  </property>
  <property fmtid="{D5CDD505-2E9C-101B-9397-08002B2CF9AE}" pid="4" name="KSOTemplateDocerSaveRecord">
    <vt:lpwstr>eyJoZGlkIjoiOWI1NzM5YjkwNzkyMzczNWQwNzEyMzEwZmRjODFlZmYiLCJ1c2VySWQiOiI1MDc1MTYzNzMifQ==</vt:lpwstr>
  </property>
</Properties>
</file>