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省政府国资委</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i w:val="0"/>
          <w:color w:val="auto"/>
          <w:sz w:val="44"/>
          <w:szCs w:val="44"/>
          <w:u w:val="none"/>
          <w:lang w:val="en-US" w:eastAsia="zh-CN"/>
        </w:rPr>
        <w:t>省管企业法律纠纷案件管理办法</w:t>
      </w:r>
      <w:r>
        <w:rPr>
          <w:rFonts w:hint="eastAsia" w:ascii="方正小标宋简体" w:hAnsi="方正小标宋简体" w:eastAsia="方正小标宋简体" w:cs="方正小标宋简体"/>
          <w:sz w:val="44"/>
          <w:szCs w:val="44"/>
          <w:lang w:val="en-US" w:eastAsia="zh-CN"/>
        </w:rPr>
        <w:t>》的通知</w:t>
      </w:r>
    </w:p>
    <w:p>
      <w:pPr>
        <w:jc w:val="center"/>
        <w:rPr>
          <w:rFonts w:hint="eastAsia" w:ascii="仿宋" w:hAnsi="仿宋" w:eastAsia="仿宋" w:cs="仿宋"/>
          <w:sz w:val="32"/>
          <w:szCs w:val="32"/>
          <w:lang w:val="en-US" w:eastAsia="zh-CN"/>
        </w:rPr>
      </w:pPr>
      <w:r>
        <w:rPr>
          <w:rFonts w:hint="default" w:ascii="仿宋" w:hAnsi="仿宋" w:eastAsia="仿宋" w:cs="仿宋"/>
          <w:sz w:val="32"/>
          <w:szCs w:val="32"/>
          <w:lang w:val="en" w:eastAsia="zh-CN"/>
        </w:rPr>
        <w:t>豫国资规</w:t>
      </w: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2024</w:t>
      </w: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9</w:t>
      </w:r>
      <w:r>
        <w:rPr>
          <w:rFonts w:hint="eastAsia" w:ascii="仿宋" w:hAnsi="仿宋" w:eastAsia="仿宋" w:cs="仿宋"/>
          <w:sz w:val="32"/>
          <w:szCs w:val="32"/>
          <w:lang w:val="en-US" w:eastAsia="zh-CN"/>
        </w:rPr>
        <w:t>号</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0" w:firstLineChars="0"/>
        <w:jc w:val="left"/>
        <w:textAlignment w:val="auto"/>
        <w:outlineLvl w:val="9"/>
        <w:rPr>
          <w:rFonts w:hint="eastAsia" w:ascii="Calibri" w:hAnsi="Calibri" w:eastAsia="仿宋" w:cs="Times New Roman"/>
          <w:sz w:val="32"/>
          <w:szCs w:val="20"/>
          <w:lang w:val="en-US" w:eastAsia="zh-CN"/>
        </w:rPr>
      </w:pPr>
      <w:r>
        <w:rPr>
          <w:rFonts w:hint="eastAsia" w:ascii="Calibri" w:hAnsi="Calibri" w:eastAsia="仿宋" w:cs="Times New Roman"/>
          <w:sz w:val="32"/>
          <w:szCs w:val="20"/>
          <w:lang w:val="en-US" w:eastAsia="zh-CN"/>
        </w:rPr>
        <w:t>各省管企业：</w:t>
      </w:r>
    </w:p>
    <w:p>
      <w:pPr>
        <w:spacing w:beforeLines="0" w:afterLines="0" w:line="600" w:lineRule="exact"/>
        <w:ind w:firstLine="640" w:firstLineChars="200"/>
        <w:jc w:val="both"/>
        <w:rPr>
          <w:rFonts w:hint="eastAsia" w:ascii="Calibri" w:hAnsi="Calibri" w:eastAsia="仿宋" w:cs="Times New Roman"/>
          <w:lang w:val="en-US" w:eastAsia="zh-CN"/>
        </w:rPr>
      </w:pPr>
      <w:r>
        <w:rPr>
          <w:rFonts w:hint="eastAsia" w:ascii="Calibri" w:hAnsi="Calibri" w:eastAsia="仿宋" w:cs="Times New Roman"/>
          <w:lang w:val="en-US" w:eastAsia="zh-CN"/>
        </w:rPr>
        <w:t>《省管企业法律纠纷案件管理办法》已经委党委会研究通过，现印发给你们，请认真贯彻执行。</w:t>
      </w:r>
    </w:p>
    <w:p>
      <w:pPr>
        <w:spacing w:beforeLines="0" w:afterLines="0" w:line="600" w:lineRule="exact"/>
        <w:ind w:firstLine="640" w:firstLineChars="200"/>
        <w:jc w:val="both"/>
        <w:rPr>
          <w:rFonts w:hint="eastAsia" w:ascii="Calibri" w:hAnsi="Calibri" w:eastAsia="仿宋" w:cs="Times New Roman"/>
          <w:lang w:val="en-US" w:eastAsia="zh-CN"/>
        </w:rPr>
      </w:pPr>
    </w:p>
    <w:p>
      <w:pPr>
        <w:spacing w:beforeLines="0" w:afterLines="0" w:line="600" w:lineRule="exact"/>
        <w:ind w:firstLine="640" w:firstLineChars="200"/>
        <w:jc w:val="both"/>
        <w:rPr>
          <w:rFonts w:hint="eastAsia" w:ascii="Calibri" w:hAnsi="Calibri" w:eastAsia="仿宋" w:cs="Times New Roman"/>
          <w:lang w:val="en-US" w:eastAsia="zh-CN"/>
        </w:rPr>
      </w:pPr>
      <w:r>
        <w:rPr>
          <w:rFonts w:hint="eastAsia" w:ascii="Calibri" w:hAnsi="Calibri" w:eastAsia="仿宋" w:cs="Times New Roman"/>
          <w:lang w:val="en-US" w:eastAsia="zh-CN"/>
        </w:rPr>
        <w:t xml:space="preserve">                     </w:t>
      </w:r>
    </w:p>
    <w:p>
      <w:pPr>
        <w:spacing w:beforeLines="0" w:afterLines="0" w:line="600" w:lineRule="exact"/>
        <w:ind w:firstLine="640" w:firstLineChars="200"/>
        <w:jc w:val="both"/>
        <w:rPr>
          <w:rFonts w:hint="eastAsia" w:ascii="仿宋" w:hAnsi="仿宋" w:eastAsia="仿宋" w:cs="仿宋"/>
          <w:lang w:val="en-US" w:eastAsia="zh-CN"/>
        </w:rPr>
      </w:pPr>
      <w:r>
        <w:rPr>
          <w:rFonts w:hint="eastAsia" w:ascii="Calibri" w:hAnsi="Calibri" w:eastAsia="仿宋" w:cs="Times New Roman"/>
          <w:lang w:val="en-US" w:eastAsia="zh-CN"/>
        </w:rPr>
        <w:t xml:space="preserve">     </w:t>
      </w:r>
      <w:r>
        <w:rPr>
          <w:rFonts w:hint="eastAsia" w:ascii="仿宋" w:hAnsi="仿宋" w:eastAsia="仿宋" w:cs="仿宋"/>
          <w:lang w:val="en-US" w:eastAsia="zh-CN"/>
        </w:rPr>
        <w:t xml:space="preserve">  </w:t>
      </w:r>
    </w:p>
    <w:p>
      <w:pPr>
        <w:spacing w:beforeLines="0" w:afterLines="0" w:line="600" w:lineRule="exact"/>
        <w:ind w:firstLine="5120" w:firstLineChars="1600"/>
        <w:jc w:val="both"/>
        <w:rPr>
          <w:rFonts w:hint="eastAsia" w:ascii="仿宋" w:hAnsi="仿宋" w:eastAsia="仿宋" w:cs="仿宋"/>
          <w:lang w:val="en-US" w:eastAsia="zh-CN"/>
        </w:rPr>
      </w:pPr>
      <w:r>
        <w:rPr>
          <w:rFonts w:hint="eastAsia" w:ascii="仿宋" w:hAnsi="仿宋" w:eastAsia="仿宋" w:cs="仿宋"/>
          <w:lang w:val="en-US" w:eastAsia="zh-CN"/>
        </w:rPr>
        <w:t>2024年7月</w:t>
      </w:r>
      <w:r>
        <w:rPr>
          <w:rFonts w:hint="default" w:ascii="仿宋" w:hAnsi="仿宋" w:eastAsia="仿宋" w:cs="仿宋"/>
          <w:lang w:val="en" w:eastAsia="zh-CN"/>
        </w:rPr>
        <w:t>2</w:t>
      </w:r>
      <w:r>
        <w:rPr>
          <w:rFonts w:hint="eastAsia" w:ascii="仿宋" w:hAnsi="仿宋" w:eastAsia="仿宋" w:cs="仿宋"/>
          <w:lang w:val="en-US" w:eastAsia="zh-CN"/>
        </w:rPr>
        <w:t>日</w:t>
      </w:r>
    </w:p>
    <w:p>
      <w:pPr>
        <w:spacing w:beforeLines="0" w:afterLines="0" w:line="600" w:lineRule="exact"/>
        <w:ind w:firstLine="640" w:firstLineChars="200"/>
        <w:jc w:val="both"/>
        <w:rPr>
          <w:rFonts w:hint="default" w:ascii="仿宋" w:hAnsi="仿宋" w:eastAsia="仿宋" w:cs="仿宋"/>
          <w:lang w:val="en" w:eastAsia="zh-CN"/>
        </w:rPr>
      </w:pPr>
      <w:r>
        <w:rPr>
          <w:rFonts w:hint="default" w:ascii="仿宋" w:hAnsi="仿宋" w:eastAsia="仿宋" w:cs="仿宋"/>
          <w:lang w:val="en" w:eastAsia="zh-CN"/>
        </w:rPr>
        <w:t>(</w:t>
      </w:r>
      <w:r>
        <w:rPr>
          <w:rFonts w:hint="eastAsia" w:ascii="仿宋" w:hAnsi="仿宋" w:eastAsia="仿宋" w:cs="仿宋"/>
          <w:lang w:val="en" w:eastAsia="zh-CN"/>
        </w:rPr>
        <w:t>此件公开发布</w:t>
      </w:r>
      <w:r>
        <w:rPr>
          <w:rFonts w:hint="default" w:ascii="仿宋" w:hAnsi="仿宋" w:eastAsia="仿宋" w:cs="仿宋"/>
          <w:lang w:val="en" w:eastAsia="zh-CN"/>
        </w:rPr>
        <w:t>)</w:t>
      </w:r>
    </w:p>
    <w:p>
      <w:pPr>
        <w:spacing w:beforeLines="0" w:afterLines="0" w:line="600" w:lineRule="exact"/>
        <w:ind w:firstLine="640" w:firstLineChars="200"/>
        <w:jc w:val="both"/>
        <w:rPr>
          <w:rFonts w:hint="default" w:ascii="仿宋" w:hAnsi="仿宋" w:eastAsia="仿宋" w:cs="仿宋"/>
          <w:lang w:val="en"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olor w:val="auto"/>
          <w:sz w:val="44"/>
          <w:szCs w:val="44"/>
          <w:u w:val="none"/>
          <w:lang w:val="en-US" w:eastAsia="zh-CN"/>
        </w:rPr>
      </w:pPr>
      <w:r>
        <w:rPr>
          <w:rFonts w:hint="eastAsia" w:ascii="方正小标宋简体" w:hAnsi="方正小标宋简体" w:eastAsia="方正小标宋简体" w:cs="方正小标宋简体"/>
          <w:i w:val="0"/>
          <w:color w:val="auto"/>
          <w:sz w:val="44"/>
          <w:szCs w:val="44"/>
          <w:u w:val="none"/>
          <w:lang w:val="en-US" w:eastAsia="zh-CN"/>
        </w:rPr>
        <w:t>省管企业法律纠纷案件管理办法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楷体" w:hAnsi="楷体" w:eastAsia="楷体" w:cs="楷体"/>
          <w:i w:val="0"/>
          <w:color w:val="auto"/>
          <w:sz w:val="32"/>
          <w:szCs w:val="32"/>
          <w:u w:val="none"/>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黑体" w:eastAsia="黑体" w:cs="黑体"/>
          <w:i w:val="0"/>
          <w:color w:val="auto"/>
          <w:sz w:val="32"/>
          <w:szCs w:val="32"/>
          <w:u w:val="none"/>
          <w:lang w:val="en" w:eastAsia="zh-CN"/>
        </w:rPr>
      </w:pPr>
      <w:r>
        <w:rPr>
          <w:rFonts w:hint="eastAsia" w:ascii="黑体" w:hAnsi="黑体" w:eastAsia="黑体" w:cs="黑体"/>
          <w:i w:val="0"/>
          <w:color w:val="auto"/>
          <w:sz w:val="32"/>
          <w:szCs w:val="32"/>
          <w:u w:val="none"/>
          <w:lang w:val="en" w:eastAsia="zh-CN"/>
        </w:rPr>
        <w:t xml:space="preserve"> 总则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黑体" w:hAnsi="黑体" w:eastAsia="黑体" w:cs="黑体"/>
          <w:i w:val="0"/>
          <w:color w:val="auto"/>
          <w:sz w:val="32"/>
          <w:szCs w:val="32"/>
          <w:u w:val="none"/>
          <w:lang w:val="en"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第一条</w:t>
      </w:r>
      <w:r>
        <w:rPr>
          <w:rFonts w:hint="eastAsia" w:ascii="仿宋" w:hAnsi="仿宋" w:eastAsia="仿宋" w:cs="仿宋"/>
          <w:i w:val="0"/>
          <w:caps w:val="0"/>
          <w:color w:val="auto"/>
          <w:spacing w:val="0"/>
          <w:sz w:val="32"/>
          <w:szCs w:val="32"/>
          <w:u w:val="none"/>
          <w:lang w:val="en-US" w:eastAsia="zh-CN"/>
        </w:rPr>
        <w:t xml:space="preserve">  为深入贯彻习近平法治思想，落实全面依法治国战略部署，深化法治国企建设，加强省管企业法律纠纷案件管理，依法保障企业合法权益，切实维护国有资产安全，根据《中华人民共和国企业国有资产法》《企业国有资产监督管理暂行条例》</w:t>
      </w:r>
      <w:r>
        <w:rPr>
          <w:rFonts w:hint="default" w:ascii="仿宋" w:hAnsi="仿宋" w:eastAsia="仿宋" w:cs="仿宋"/>
          <w:i w:val="0"/>
          <w:caps w:val="0"/>
          <w:color w:val="auto"/>
          <w:spacing w:val="0"/>
          <w:sz w:val="32"/>
          <w:szCs w:val="32"/>
          <w:u w:val="none"/>
          <w:lang w:val="en" w:eastAsia="zh-CN"/>
        </w:rPr>
        <w:t>等法律法规</w:t>
      </w:r>
      <w:r>
        <w:rPr>
          <w:rFonts w:hint="eastAsia" w:ascii="仿宋" w:hAnsi="仿宋" w:eastAsia="仿宋" w:cs="仿宋"/>
          <w:i w:val="0"/>
          <w:caps w:val="0"/>
          <w:color w:val="auto"/>
          <w:spacing w:val="0"/>
          <w:sz w:val="32"/>
          <w:szCs w:val="32"/>
          <w:u w:val="none"/>
          <w:lang w:val="en-US" w:eastAsia="zh-CN"/>
        </w:rPr>
        <w:t>，参照《中央企业法律纠纷案件管理办法》，结合</w:t>
      </w:r>
      <w:r>
        <w:rPr>
          <w:rFonts w:hint="default" w:ascii="仿宋" w:hAnsi="仿宋" w:eastAsia="仿宋" w:cs="仿宋"/>
          <w:i w:val="0"/>
          <w:caps w:val="0"/>
          <w:color w:val="auto"/>
          <w:spacing w:val="0"/>
          <w:sz w:val="32"/>
          <w:szCs w:val="32"/>
          <w:u w:val="none"/>
          <w:lang w:val="en" w:eastAsia="zh-CN"/>
        </w:rPr>
        <w:t>出资企业</w:t>
      </w:r>
      <w:r>
        <w:rPr>
          <w:rFonts w:hint="eastAsia" w:ascii="仿宋" w:hAnsi="仿宋" w:eastAsia="仿宋" w:cs="仿宋"/>
          <w:i w:val="0"/>
          <w:caps w:val="0"/>
          <w:color w:val="auto"/>
          <w:spacing w:val="0"/>
          <w:sz w:val="32"/>
          <w:szCs w:val="32"/>
          <w:u w:val="none"/>
          <w:lang w:val="en-US" w:eastAsia="zh-CN"/>
        </w:rPr>
        <w:t>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第二条</w:t>
      </w:r>
      <w:r>
        <w:rPr>
          <w:rFonts w:hint="eastAsia" w:ascii="仿宋" w:hAnsi="仿宋" w:eastAsia="仿宋" w:cs="仿宋"/>
          <w:i w:val="0"/>
          <w:caps w:val="0"/>
          <w:color w:val="auto"/>
          <w:spacing w:val="0"/>
          <w:sz w:val="32"/>
          <w:szCs w:val="32"/>
          <w:u w:val="none"/>
          <w:lang w:val="en-US" w:eastAsia="zh-CN"/>
        </w:rPr>
        <w:t xml:space="preserve">  本办法适用于河南省人民政府国有资产监督管理委员会（以下简称省政府国资委）根据河南省人民政府授权履行出资人职责的省管企业。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第三条</w:t>
      </w:r>
      <w:r>
        <w:rPr>
          <w:rFonts w:hint="eastAsia" w:ascii="仿宋" w:hAnsi="仿宋" w:eastAsia="仿宋" w:cs="仿宋"/>
          <w:i w:val="0"/>
          <w:caps w:val="0"/>
          <w:color w:val="auto"/>
          <w:spacing w:val="0"/>
          <w:sz w:val="32"/>
          <w:szCs w:val="32"/>
          <w:u w:val="none"/>
          <w:lang w:val="en-US" w:eastAsia="zh-CN"/>
        </w:rPr>
        <w:t xml:space="preserve">  本办法所称法律纠纷案件是指省管企业及其所属企业在经营管理过程中发生的境内外诉讼、仲裁等（以下简称案件）。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第四条</w:t>
      </w:r>
      <w:r>
        <w:rPr>
          <w:rFonts w:hint="eastAsia" w:ascii="仿宋" w:hAnsi="仿宋" w:eastAsia="仿宋" w:cs="仿宋"/>
          <w:i w:val="0"/>
          <w:caps w:val="0"/>
          <w:color w:val="auto"/>
          <w:spacing w:val="0"/>
          <w:sz w:val="32"/>
          <w:szCs w:val="32"/>
          <w:u w:val="none"/>
          <w:lang w:val="en-US" w:eastAsia="zh-CN"/>
        </w:rPr>
        <w:t xml:space="preserve">  省管企业应当持续加强案件管理，明确责任主体，完善管理制度，健全工作机制，积极主动维权，切实防止国有资产损失。建立健全以案促管机制，及时发现案件反映的管理问题，堵塞管理漏洞，提升管理水平，切实保障提质增效、稳健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 xml:space="preserve">第五条 </w:t>
      </w:r>
      <w:r>
        <w:rPr>
          <w:rFonts w:hint="eastAsia" w:ascii="仿宋" w:hAnsi="仿宋" w:eastAsia="仿宋" w:cs="仿宋"/>
          <w:i w:val="0"/>
          <w:caps w:val="0"/>
          <w:color w:val="auto"/>
          <w:spacing w:val="0"/>
          <w:sz w:val="32"/>
          <w:szCs w:val="32"/>
          <w:u w:val="none"/>
          <w:lang w:val="en-US" w:eastAsia="zh-CN"/>
        </w:rPr>
        <w:t xml:space="preserve"> 省政府国资委负责指导省管企业案件管理工作，建立健全法律、监督、追责等部门协同工作机制，加强对案件处理、备案等情况的监督检查，强化对重大案件的指导协调和督办。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第二章  组织职责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第六条</w:t>
      </w:r>
      <w:r>
        <w:rPr>
          <w:rFonts w:hint="eastAsia" w:ascii="仿宋" w:hAnsi="仿宋" w:eastAsia="仿宋" w:cs="仿宋"/>
          <w:i w:val="0"/>
          <w:caps w:val="0"/>
          <w:color w:val="auto"/>
          <w:spacing w:val="0"/>
          <w:sz w:val="32"/>
          <w:szCs w:val="32"/>
          <w:u w:val="none"/>
          <w:lang w:val="en-US" w:eastAsia="zh-CN"/>
        </w:rPr>
        <w:t xml:space="preserve">  省管企业主要负责人切实履行法治建设第一责任人职责，加强对案件管理工作的领导，及时听取案件情况汇报，强化机构、人员、经费等保障。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第七条</w:t>
      </w:r>
      <w:r>
        <w:rPr>
          <w:rFonts w:hint="eastAsia" w:ascii="仿宋" w:hAnsi="仿宋" w:eastAsia="仿宋" w:cs="仿宋"/>
          <w:i w:val="0"/>
          <w:caps w:val="0"/>
          <w:color w:val="auto"/>
          <w:spacing w:val="0"/>
          <w:sz w:val="32"/>
          <w:szCs w:val="32"/>
          <w:u w:val="none"/>
          <w:lang w:val="en-US" w:eastAsia="zh-CN"/>
        </w:rPr>
        <w:t xml:space="preserve">  省管企业总法律顾问牵头案件管理工作，</w:t>
      </w:r>
      <w:r>
        <w:rPr>
          <w:rFonts w:hint="eastAsia" w:ascii="仿宋" w:hAnsi="仿宋" w:eastAsia="仿宋" w:cs="仿宋"/>
          <w:i w:val="0"/>
          <w:caps w:val="0"/>
          <w:color w:val="auto"/>
          <w:spacing w:val="0"/>
          <w:sz w:val="32"/>
          <w:szCs w:val="32"/>
          <w:shd w:val="clear" w:color="auto" w:fill="FFFFFF"/>
          <w:lang w:val="en-US" w:eastAsia="zh-CN"/>
        </w:rPr>
        <w:t>领导企业法务管理部门建立健全制度，完善工作机制，研究解决重点</w:t>
      </w:r>
      <w:r>
        <w:rPr>
          <w:rFonts w:hint="eastAsia" w:ascii="仿宋" w:hAnsi="仿宋" w:eastAsia="仿宋" w:cs="仿宋"/>
          <w:i w:val="0"/>
          <w:caps w:val="0"/>
          <w:color w:val="auto"/>
          <w:spacing w:val="0"/>
          <w:sz w:val="32"/>
          <w:szCs w:val="32"/>
          <w:u w:val="none"/>
          <w:lang w:val="en-US" w:eastAsia="zh-CN"/>
        </w:rPr>
        <w:t>难点问题，指导所属企业加强案件管理。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val="en-US" w:eastAsia="zh-CN"/>
        </w:rPr>
        <w:t>第八条</w:t>
      </w:r>
      <w:r>
        <w:rPr>
          <w:rFonts w:hint="eastAsia" w:ascii="仿宋" w:hAnsi="仿宋" w:eastAsia="仿宋" w:cs="仿宋"/>
          <w:i w:val="0"/>
          <w:caps w:val="0"/>
          <w:color w:val="auto"/>
          <w:spacing w:val="0"/>
          <w:sz w:val="32"/>
          <w:szCs w:val="32"/>
          <w:u w:val="none"/>
          <w:lang w:val="en-US" w:eastAsia="zh-CN"/>
        </w:rPr>
        <w:t xml:space="preserve">  省管企业案件主管部门为企业法务管理</w:t>
      </w:r>
      <w:r>
        <w:rPr>
          <w:rFonts w:hint="default" w:ascii="仿宋" w:hAnsi="仿宋" w:eastAsia="仿宋" w:cs="仿宋"/>
          <w:i w:val="0"/>
          <w:caps w:val="0"/>
          <w:color w:val="auto"/>
          <w:spacing w:val="0"/>
          <w:sz w:val="32"/>
          <w:szCs w:val="32"/>
          <w:u w:val="none"/>
          <w:lang w:val="en" w:eastAsia="zh-CN"/>
        </w:rPr>
        <w:t>部门</w:t>
      </w:r>
      <w:r>
        <w:rPr>
          <w:rFonts w:hint="eastAsia" w:ascii="仿宋" w:hAnsi="仿宋" w:eastAsia="仿宋" w:cs="仿宋"/>
          <w:i w:val="0"/>
          <w:caps w:val="0"/>
          <w:color w:val="auto"/>
          <w:spacing w:val="0"/>
          <w:sz w:val="32"/>
          <w:szCs w:val="32"/>
          <w:u w:val="none"/>
          <w:lang w:val="en-US" w:eastAsia="zh-CN"/>
        </w:rPr>
        <w:t>，统筹与有关部门沟通协调工作，参与诉讼或仲裁等事务，在案件管理中履行以下职责：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（一）组织制定、修订企业案件管理制度；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（二）负责处理企业作为当事人的案件；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（三）负责对案件处理中发现的企业经营、管理等问题进行风险提示；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（四）负责、协调企业案件的向上报告工作；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（五）选聘和管理法律服务中介机构；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（六）统计、分析案件信息和情况；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（七）组织开展案件典型案例分析研究；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（八）组织开展案件管理培训工作；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（九）负责案件管理信息化工作；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（九）整理、归档案件相关材料；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（十）其他应由案件主管部门履行的职责。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省管企业案件主管部门在上述职责外，还应对所属单位案件管理工作进行指导、监督、检查和组织协调处置，必要时可提级管理。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val="en-US" w:eastAsia="zh-CN"/>
        </w:rPr>
        <w:t xml:space="preserve">第九条  </w:t>
      </w:r>
      <w:r>
        <w:rPr>
          <w:rFonts w:hint="eastAsia" w:ascii="仿宋" w:hAnsi="仿宋" w:eastAsia="仿宋" w:cs="仿宋"/>
          <w:i w:val="0"/>
          <w:caps w:val="0"/>
          <w:color w:val="auto"/>
          <w:spacing w:val="0"/>
          <w:sz w:val="32"/>
          <w:szCs w:val="32"/>
          <w:u w:val="none"/>
          <w:lang w:val="en-US" w:eastAsia="zh-CN"/>
        </w:rPr>
        <w:t>省管企业案件责任部门为案件涉及事项的业务部门，由省管企业根据案件涉及的业务和职能划分确定，应在案件管理中履行以下职责：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（一）根据案件主管部门的要求，指定专人全程参与、配合案件处理工作；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（二）及时向案件主管部门报告与案件相关的信息，并根据案件主管部门的要求提供案件相关材料；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（三）根据需要委派部门相关人员现场旁听或参与案件庭审；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（四）根据案件主管部门的风险提示，制定风险管控措施，并在规定期限内向案件主管部门反馈、报送整改措施与执行情况；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（五）执行或配合执行重大案件法律文书；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（六）针对案件反映的管理问题完善相关制度，改进工作机制，推动以案促管。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u w:val="none"/>
          <w:lang w:val="en-US" w:eastAsia="zh-CN"/>
        </w:rPr>
        <w:t>有关人员应当注意对案件的处理、</w:t>
      </w:r>
      <w:r>
        <w:rPr>
          <w:rFonts w:hint="eastAsia" w:ascii="仿宋" w:hAnsi="仿宋" w:eastAsia="仿宋" w:cs="仿宋"/>
          <w:i w:val="0"/>
          <w:caps w:val="0"/>
          <w:color w:val="auto"/>
          <w:spacing w:val="0"/>
          <w:sz w:val="32"/>
          <w:szCs w:val="32"/>
          <w:shd w:val="clear" w:color="auto" w:fill="FFFFFF"/>
          <w:lang w:val="en-US" w:eastAsia="zh-CN"/>
        </w:rPr>
        <w:t>决策等事宜予以保密，避免对案件处理产生不利影响。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第十条</w:t>
      </w:r>
      <w:r>
        <w:rPr>
          <w:rFonts w:hint="eastAsia" w:ascii="仿宋" w:hAnsi="仿宋" w:eastAsia="仿宋" w:cs="仿宋"/>
          <w:i w:val="0"/>
          <w:caps w:val="0"/>
          <w:color w:val="auto"/>
          <w:spacing w:val="0"/>
          <w:sz w:val="32"/>
          <w:szCs w:val="32"/>
          <w:u w:val="none"/>
          <w:lang w:val="en-US" w:eastAsia="zh-CN"/>
        </w:rPr>
        <w:t xml:space="preserve">  省管企业应当建立案件管理人才选拔培养机制，鼓励法务人员参与或者直接代理案件，持续提升案件管理工作水平。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宋体" w:hAnsi="宋体" w:eastAsia="宋体" w:cs="宋体"/>
          <w:i w:val="0"/>
          <w:caps w:val="0"/>
          <w:color w:val="auto"/>
          <w:spacing w:val="0"/>
          <w:sz w:val="32"/>
          <w:szCs w:val="32"/>
          <w:u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第三章  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宋体" w:hAnsi="宋体" w:eastAsia="宋体" w:cs="宋体"/>
          <w:i w:val="0"/>
          <w:caps w:val="0"/>
          <w:color w:val="auto"/>
          <w:spacing w:val="0"/>
          <w:sz w:val="32"/>
          <w:szCs w:val="32"/>
          <w:u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第十一条</w:t>
      </w:r>
      <w:r>
        <w:rPr>
          <w:rFonts w:hint="eastAsia" w:ascii="仿宋" w:hAnsi="仿宋" w:eastAsia="仿宋" w:cs="仿宋"/>
          <w:i w:val="0"/>
          <w:caps w:val="0"/>
          <w:color w:val="auto"/>
          <w:spacing w:val="0"/>
          <w:sz w:val="32"/>
          <w:szCs w:val="32"/>
          <w:u w:val="none"/>
          <w:lang w:val="en-US" w:eastAsia="zh-CN"/>
        </w:rPr>
        <w:t xml:space="preserve">  省管企业应当结合实际健全案件管理相关制度，明确责任主体、职责范围、管控措施、监督问责等内容。</w:t>
      </w:r>
      <w:r>
        <w:rPr>
          <w:rFonts w:hint="eastAsia" w:ascii="仿宋" w:hAnsi="仿宋" w:eastAsia="仿宋" w:cs="仿宋"/>
          <w:i w:val="0"/>
          <w:caps w:val="0"/>
          <w:color w:val="auto"/>
          <w:spacing w:val="0"/>
          <w:sz w:val="32"/>
          <w:szCs w:val="32"/>
          <w:shd w:val="clear" w:color="auto" w:fill="FFFFFF"/>
          <w:lang w:val="en-US" w:eastAsia="zh-CN"/>
        </w:rPr>
        <w:t>细化各部门之间、与所属单位之间的案件管理流程。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第十二条</w:t>
      </w:r>
      <w:r>
        <w:rPr>
          <w:rFonts w:hint="eastAsia" w:ascii="仿宋" w:hAnsi="仿宋" w:eastAsia="仿宋" w:cs="仿宋"/>
          <w:i w:val="0"/>
          <w:caps w:val="0"/>
          <w:color w:val="auto"/>
          <w:spacing w:val="0"/>
          <w:sz w:val="32"/>
          <w:szCs w:val="32"/>
          <w:u w:val="none"/>
          <w:lang w:val="en-US" w:eastAsia="zh-CN"/>
        </w:rPr>
        <w:t xml:space="preserve">  省管企业应当定期开展法律纠纷风险排查，建立重大风险预警机制，分类制定防控策略，完善应对预案，有效防范案件风险。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第十三条</w:t>
      </w:r>
      <w:r>
        <w:rPr>
          <w:rFonts w:hint="eastAsia" w:ascii="仿宋" w:hAnsi="仿宋" w:eastAsia="仿宋" w:cs="仿宋"/>
          <w:i w:val="0"/>
          <w:caps w:val="0"/>
          <w:color w:val="auto"/>
          <w:spacing w:val="0"/>
          <w:sz w:val="32"/>
          <w:szCs w:val="32"/>
          <w:u w:val="none"/>
          <w:lang w:val="en-US" w:eastAsia="zh-CN"/>
        </w:rPr>
        <w:t xml:space="preserve">  省管企业发生案件应当及时采取措施，全面调查了解案情，做好法律分析、证据收集等工作，规范参加庭审活动，加强舆情监测处置。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第十四条</w:t>
      </w:r>
      <w:r>
        <w:rPr>
          <w:rFonts w:hint="eastAsia" w:ascii="仿宋" w:hAnsi="仿宋" w:eastAsia="仿宋" w:cs="仿宋"/>
          <w:i w:val="0"/>
          <w:caps w:val="0"/>
          <w:color w:val="auto"/>
          <w:spacing w:val="0"/>
          <w:sz w:val="32"/>
          <w:szCs w:val="32"/>
          <w:u w:val="none"/>
          <w:lang w:val="en-US" w:eastAsia="zh-CN"/>
        </w:rPr>
        <w:t xml:space="preserve">  省管企业应当结合国际化经营实际，建立健全涉外案件管理机制，加大涉外案件处理力度，切实维护境外国有资产安全。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第十五条</w:t>
      </w:r>
      <w:r>
        <w:rPr>
          <w:rFonts w:hint="eastAsia" w:ascii="仿宋" w:hAnsi="仿宋" w:eastAsia="仿宋" w:cs="仿宋"/>
          <w:i w:val="0"/>
          <w:caps w:val="0"/>
          <w:color w:val="auto"/>
          <w:spacing w:val="0"/>
          <w:sz w:val="32"/>
          <w:szCs w:val="32"/>
          <w:u w:val="none"/>
          <w:lang w:val="en-US" w:eastAsia="zh-CN"/>
        </w:rPr>
        <w:t xml:space="preserve">  省管企业应当通过诉讼、仲裁、调解、和解等多元化纠纷解决机制妥善处理案件。同一省管企业所属企业之间发生法律纠纷，可以通过内部调解等方式解决。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第十六条</w:t>
      </w:r>
      <w:r>
        <w:rPr>
          <w:rFonts w:hint="eastAsia" w:ascii="仿宋" w:hAnsi="仿宋" w:eastAsia="仿宋" w:cs="仿宋"/>
          <w:i w:val="0"/>
          <w:caps w:val="0"/>
          <w:color w:val="auto"/>
          <w:spacing w:val="0"/>
          <w:sz w:val="32"/>
          <w:szCs w:val="32"/>
          <w:u w:val="none"/>
          <w:lang w:val="en-US" w:eastAsia="zh-CN"/>
        </w:rPr>
        <w:t xml:space="preserve">  省管企业应当建立案件预警机制，针对典型性和普遍性案件深入分析发案原因、潜在后果等，及时进行预警提示，切实采取防控措施。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第十七条</w:t>
      </w:r>
      <w:r>
        <w:rPr>
          <w:rFonts w:hint="eastAsia" w:ascii="仿宋" w:hAnsi="仿宋" w:eastAsia="仿宋" w:cs="仿宋"/>
          <w:i w:val="0"/>
          <w:caps w:val="0"/>
          <w:color w:val="auto"/>
          <w:spacing w:val="0"/>
          <w:sz w:val="32"/>
          <w:szCs w:val="32"/>
          <w:u w:val="none"/>
          <w:lang w:val="en-US" w:eastAsia="zh-CN"/>
        </w:rPr>
        <w:t xml:space="preserve">  省管企业应当加强历史遗留案件处理，研究制定处置方案，动态跟踪进展情况，积极采取有力措施，推动案件加快解决。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 xml:space="preserve">第十八条 </w:t>
      </w:r>
      <w:r>
        <w:rPr>
          <w:rFonts w:hint="eastAsia" w:ascii="仿宋" w:hAnsi="仿宋" w:eastAsia="仿宋" w:cs="仿宋"/>
          <w:i w:val="0"/>
          <w:caps w:val="0"/>
          <w:color w:val="auto"/>
          <w:spacing w:val="0"/>
          <w:sz w:val="32"/>
          <w:szCs w:val="32"/>
          <w:u w:val="none"/>
          <w:lang w:val="en-US" w:eastAsia="zh-CN"/>
        </w:rPr>
        <w:t xml:space="preserve"> 省管企业应当对处理完毕的案件及时进行总结分析，梳理案件管理经验，查找经营管理薄弱环节，通过法律意见书、建议函等形式，指导有关部门或者所属企业完善管理制度，堵塞管理漏洞。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第十九条</w:t>
      </w:r>
      <w:r>
        <w:rPr>
          <w:rFonts w:hint="eastAsia" w:ascii="仿宋" w:hAnsi="仿宋" w:eastAsia="仿宋" w:cs="仿宋"/>
          <w:i w:val="0"/>
          <w:caps w:val="0"/>
          <w:color w:val="auto"/>
          <w:spacing w:val="0"/>
          <w:sz w:val="32"/>
          <w:szCs w:val="32"/>
          <w:u w:val="none"/>
          <w:lang w:val="en-US" w:eastAsia="zh-CN"/>
        </w:rPr>
        <w:t xml:space="preserve">  省管企业应当将案件管理情况作为法治建设重要内容，纳入对所属企业的考核评价。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 xml:space="preserve">第二十条 </w:t>
      </w:r>
      <w:r>
        <w:rPr>
          <w:rFonts w:hint="eastAsia" w:ascii="仿宋" w:hAnsi="仿宋" w:eastAsia="仿宋" w:cs="仿宋"/>
          <w:i w:val="0"/>
          <w:caps w:val="0"/>
          <w:color w:val="auto"/>
          <w:spacing w:val="0"/>
          <w:sz w:val="32"/>
          <w:szCs w:val="32"/>
          <w:u w:val="none"/>
          <w:lang w:val="en-US" w:eastAsia="zh-CN"/>
        </w:rPr>
        <w:t xml:space="preserve"> 省管企业应当建立上下贯通、全面覆盖、实时监测的案件管理信息系统，及时掌握案件情况，健全管理指标体系，加强数据统计分析，实现案件信息在线监控、共建共享、互联互通，增强案件管理的针对性和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val="en-US" w:eastAsia="zh-CN"/>
        </w:rPr>
        <w:t>第二十一条</w:t>
      </w:r>
      <w:r>
        <w:rPr>
          <w:rFonts w:hint="eastAsia" w:ascii="仿宋" w:hAnsi="仿宋" w:eastAsia="仿宋" w:cs="仿宋"/>
          <w:i w:val="0"/>
          <w:caps w:val="0"/>
          <w:color w:val="auto"/>
          <w:spacing w:val="0"/>
          <w:sz w:val="32"/>
          <w:szCs w:val="32"/>
          <w:u w:val="none"/>
          <w:lang w:val="en-US" w:eastAsia="zh-CN"/>
        </w:rPr>
        <w:t xml:space="preserve">  省管企业可以定期开展数据分析和典型案例研究，并通过专题培训、交流座谈、案例分享等方式提升案件管理与风险防范水平。可邀请律师、行业专家、高校教授等共同参与，推进完善案件管理、加强法治建设。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黑体" w:eastAsia="黑体" w:cs="黑体"/>
          <w:i w:val="0"/>
          <w:caps w:val="0"/>
          <w:color w:val="auto"/>
          <w:spacing w:val="0"/>
          <w:kern w:val="0"/>
          <w:sz w:val="32"/>
          <w:szCs w:val="32"/>
          <w:u w:val="none"/>
          <w:lang w:val="en-US" w:eastAsia="zh-CN" w:bidi="ar"/>
        </w:rPr>
        <w:t>第二十二条</w:t>
      </w:r>
      <w:r>
        <w:rPr>
          <w:rFonts w:hint="eastAsia" w:ascii="仿宋" w:hAnsi="仿宋" w:eastAsia="仿宋" w:cs="仿宋"/>
          <w:i w:val="0"/>
          <w:caps w:val="0"/>
          <w:color w:val="auto"/>
          <w:spacing w:val="0"/>
          <w:kern w:val="0"/>
          <w:sz w:val="32"/>
          <w:szCs w:val="32"/>
          <w:u w:val="none"/>
          <w:lang w:val="en-US" w:eastAsia="zh-CN" w:bidi="ar"/>
        </w:rPr>
        <w:t xml:space="preserve">  </w:t>
      </w:r>
      <w:r>
        <w:rPr>
          <w:rFonts w:hint="eastAsia" w:ascii="仿宋" w:hAnsi="仿宋" w:eastAsia="仿宋" w:cs="仿宋"/>
          <w:i w:val="0"/>
          <w:caps w:val="0"/>
          <w:color w:val="auto"/>
          <w:spacing w:val="0"/>
          <w:sz w:val="32"/>
          <w:szCs w:val="32"/>
          <w:shd w:val="clear" w:color="auto" w:fill="FFFFFF"/>
          <w:lang w:val="en-US" w:eastAsia="zh-CN"/>
        </w:rPr>
        <w:t>省管</w:t>
      </w:r>
      <w:r>
        <w:rPr>
          <w:rFonts w:hint="eastAsia" w:ascii="仿宋" w:hAnsi="仿宋" w:eastAsia="仿宋" w:cs="仿宋"/>
          <w:i w:val="0"/>
          <w:caps w:val="0"/>
          <w:color w:val="auto"/>
          <w:spacing w:val="0"/>
          <w:sz w:val="32"/>
          <w:szCs w:val="32"/>
          <w:u w:val="none"/>
          <w:lang w:val="en-US" w:eastAsia="zh-CN"/>
        </w:rPr>
        <w:t>企</w:t>
      </w:r>
      <w:r>
        <w:rPr>
          <w:rFonts w:hint="default" w:ascii="仿宋" w:hAnsi="仿宋" w:eastAsia="仿宋" w:cs="仿宋"/>
          <w:i w:val="0"/>
          <w:caps w:val="0"/>
          <w:color w:val="auto"/>
          <w:spacing w:val="0"/>
          <w:sz w:val="32"/>
          <w:szCs w:val="32"/>
          <w:u w:val="none"/>
          <w:lang w:val="en-US" w:eastAsia="zh-CN"/>
        </w:rPr>
        <w:t>业应当每年对案件情况进行汇总统计和研究分析，</w:t>
      </w:r>
      <w:r>
        <w:rPr>
          <w:rFonts w:hint="eastAsia" w:ascii="仿宋" w:hAnsi="仿宋" w:eastAsia="仿宋" w:cs="仿宋"/>
          <w:i w:val="0"/>
          <w:caps w:val="0"/>
          <w:color w:val="auto"/>
          <w:spacing w:val="0"/>
          <w:sz w:val="32"/>
          <w:szCs w:val="32"/>
          <w:u w:val="none"/>
          <w:lang w:val="en-US" w:eastAsia="zh-CN"/>
        </w:rPr>
        <w:t>并</w:t>
      </w:r>
      <w:r>
        <w:rPr>
          <w:rFonts w:hint="default" w:ascii="仿宋" w:hAnsi="仿宋" w:eastAsia="仿宋" w:cs="仿宋"/>
          <w:i w:val="0"/>
          <w:caps w:val="0"/>
          <w:color w:val="auto"/>
          <w:spacing w:val="0"/>
          <w:sz w:val="32"/>
          <w:szCs w:val="32"/>
          <w:u w:val="none"/>
          <w:lang w:val="en-US" w:eastAsia="zh-CN"/>
        </w:rPr>
        <w:t>于1月底前</w:t>
      </w:r>
      <w:r>
        <w:rPr>
          <w:rFonts w:hint="eastAsia" w:ascii="仿宋" w:hAnsi="仿宋" w:eastAsia="仿宋" w:cs="仿宋"/>
          <w:i w:val="0"/>
          <w:caps w:val="0"/>
          <w:color w:val="auto"/>
          <w:spacing w:val="0"/>
          <w:sz w:val="32"/>
          <w:szCs w:val="32"/>
          <w:u w:val="none"/>
          <w:lang w:val="en-US" w:eastAsia="zh-CN"/>
        </w:rPr>
        <w:t>向</w:t>
      </w:r>
      <w:r>
        <w:rPr>
          <w:rFonts w:hint="default" w:ascii="仿宋" w:hAnsi="仿宋" w:eastAsia="仿宋" w:cs="仿宋"/>
          <w:i w:val="0"/>
          <w:caps w:val="0"/>
          <w:color w:val="auto"/>
          <w:spacing w:val="0"/>
          <w:sz w:val="32"/>
          <w:szCs w:val="32"/>
          <w:u w:val="none"/>
          <w:lang w:val="en-US" w:eastAsia="zh-CN"/>
        </w:rPr>
        <w:t>省</w:t>
      </w:r>
      <w:r>
        <w:rPr>
          <w:rFonts w:hint="eastAsia" w:ascii="仿宋" w:hAnsi="仿宋" w:eastAsia="仿宋" w:cs="仿宋"/>
          <w:i w:val="0"/>
          <w:caps w:val="0"/>
          <w:color w:val="auto"/>
          <w:spacing w:val="0"/>
          <w:sz w:val="32"/>
          <w:szCs w:val="32"/>
          <w:u w:val="none"/>
          <w:lang w:val="en-US" w:eastAsia="zh-CN"/>
        </w:rPr>
        <w:t>政府</w:t>
      </w:r>
      <w:r>
        <w:rPr>
          <w:rFonts w:hint="default" w:ascii="仿宋" w:hAnsi="仿宋" w:eastAsia="仿宋" w:cs="仿宋"/>
          <w:i w:val="0"/>
          <w:caps w:val="0"/>
          <w:color w:val="auto"/>
          <w:spacing w:val="0"/>
          <w:sz w:val="32"/>
          <w:szCs w:val="32"/>
          <w:u w:val="none"/>
          <w:lang w:val="en-US" w:eastAsia="zh-CN"/>
        </w:rPr>
        <w:t>国资委</w:t>
      </w:r>
      <w:r>
        <w:rPr>
          <w:rFonts w:hint="eastAsia" w:ascii="仿宋" w:hAnsi="仿宋" w:eastAsia="仿宋" w:cs="仿宋"/>
          <w:i w:val="0"/>
          <w:caps w:val="0"/>
          <w:color w:val="auto"/>
          <w:spacing w:val="0"/>
          <w:sz w:val="32"/>
          <w:szCs w:val="32"/>
          <w:u w:val="none"/>
          <w:lang w:val="en-US" w:eastAsia="zh-CN"/>
        </w:rPr>
        <w:t>报送上一年度案件综合分析报告。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省政府国资委对法律纠纷案件开展年度统计、汇总、分析和研判，通过提示函、案件通报、经典案件汇编等形式指导企业加强案件管理，提升依法维权能力。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color w:val="auto"/>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第四章  重大案件管理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宋体" w:hAnsi="宋体" w:eastAsia="宋体" w:cs="宋体"/>
          <w:i w:val="0"/>
          <w:caps w:val="0"/>
          <w:color w:val="auto"/>
          <w:spacing w:val="0"/>
          <w:sz w:val="32"/>
          <w:szCs w:val="32"/>
          <w:u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第二十三条</w:t>
      </w:r>
      <w:r>
        <w:rPr>
          <w:rFonts w:hint="eastAsia" w:ascii="仿宋" w:hAnsi="仿宋" w:eastAsia="仿宋" w:cs="仿宋"/>
          <w:i w:val="0"/>
          <w:caps w:val="0"/>
          <w:color w:val="auto"/>
          <w:spacing w:val="0"/>
          <w:sz w:val="32"/>
          <w:szCs w:val="32"/>
          <w:u w:val="none"/>
          <w:lang w:val="en-US" w:eastAsia="zh-CN"/>
        </w:rPr>
        <w:t xml:space="preserve">  省管企业应当建立重大案件管理制度，结合自身实际明确重大案件标准，完善案件应对机制，加大处理力度，推动妥善解决。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第二十四条</w:t>
      </w:r>
      <w:r>
        <w:rPr>
          <w:rFonts w:hint="eastAsia" w:ascii="仿宋" w:hAnsi="仿宋" w:eastAsia="仿宋" w:cs="仿宋"/>
          <w:i w:val="0"/>
          <w:caps w:val="0"/>
          <w:color w:val="auto"/>
          <w:spacing w:val="0"/>
          <w:sz w:val="32"/>
          <w:szCs w:val="32"/>
          <w:u w:val="none"/>
          <w:lang w:val="en-US" w:eastAsia="zh-CN"/>
        </w:rPr>
        <w:t xml:space="preserve">  省管企业发生以下重大案件，应当自立案、受理或者收到应诉通知书等材料之日起10个工作日内报省政府国资委备案：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caps w:val="0"/>
          <w:color w:val="auto"/>
          <w:spacing w:val="0"/>
          <w:sz w:val="32"/>
          <w:szCs w:val="32"/>
          <w:u w:val="none"/>
          <w:lang w:val="en-US" w:eastAsia="zh-CN"/>
        </w:rPr>
      </w:pPr>
      <w:r>
        <w:rPr>
          <w:rFonts w:hint="default" w:ascii="仿宋" w:hAnsi="仿宋" w:eastAsia="仿宋" w:cs="仿宋"/>
          <w:i w:val="0"/>
          <w:caps w:val="0"/>
          <w:color w:val="auto"/>
          <w:spacing w:val="0"/>
          <w:sz w:val="32"/>
          <w:szCs w:val="32"/>
          <w:u w:val="none"/>
          <w:lang w:val="en-US" w:eastAsia="zh-CN"/>
        </w:rPr>
        <w:t>（一）涉案金额达到</w:t>
      </w:r>
      <w:r>
        <w:rPr>
          <w:rFonts w:hint="eastAsia" w:ascii="仿宋" w:hAnsi="仿宋" w:eastAsia="仿宋" w:cs="仿宋"/>
          <w:i w:val="0"/>
          <w:caps w:val="0"/>
          <w:color w:val="auto"/>
          <w:spacing w:val="0"/>
          <w:sz w:val="32"/>
          <w:szCs w:val="32"/>
          <w:u w:val="none"/>
          <w:lang w:val="en-US" w:eastAsia="zh-CN"/>
        </w:rPr>
        <w:t>2</w:t>
      </w:r>
      <w:r>
        <w:rPr>
          <w:rFonts w:hint="default" w:ascii="仿宋" w:hAnsi="仿宋" w:eastAsia="仿宋" w:cs="仿宋"/>
          <w:i w:val="0"/>
          <w:caps w:val="0"/>
          <w:color w:val="auto"/>
          <w:spacing w:val="0"/>
          <w:sz w:val="32"/>
          <w:szCs w:val="32"/>
          <w:u w:val="none"/>
          <w:lang w:val="en-US" w:eastAsia="zh-CN"/>
        </w:rPr>
        <w:t>000万元人民币或等值外币的；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caps w:val="0"/>
          <w:color w:val="auto"/>
          <w:spacing w:val="0"/>
          <w:sz w:val="32"/>
          <w:szCs w:val="32"/>
          <w:u w:val="none"/>
          <w:lang w:val="en-US" w:eastAsia="zh-CN"/>
        </w:rPr>
      </w:pPr>
      <w:r>
        <w:rPr>
          <w:rFonts w:hint="default" w:ascii="仿宋" w:hAnsi="仿宋" w:eastAsia="仿宋" w:cs="仿宋"/>
          <w:i w:val="0"/>
          <w:caps w:val="0"/>
          <w:color w:val="auto"/>
          <w:spacing w:val="0"/>
          <w:sz w:val="32"/>
          <w:szCs w:val="32"/>
          <w:u w:val="none"/>
          <w:lang w:val="en-US" w:eastAsia="zh-CN"/>
        </w:rPr>
        <w:t>（二）涉案金额达到省</w:t>
      </w:r>
      <w:r>
        <w:rPr>
          <w:rFonts w:hint="eastAsia" w:ascii="仿宋" w:hAnsi="仿宋" w:eastAsia="仿宋" w:cs="仿宋"/>
          <w:i w:val="0"/>
          <w:caps w:val="0"/>
          <w:color w:val="auto"/>
          <w:spacing w:val="0"/>
          <w:sz w:val="32"/>
          <w:szCs w:val="32"/>
          <w:u w:val="none"/>
          <w:lang w:val="en-US" w:eastAsia="zh-CN"/>
        </w:rPr>
        <w:t>管</w:t>
      </w:r>
      <w:r>
        <w:rPr>
          <w:rFonts w:hint="default" w:ascii="仿宋" w:hAnsi="仿宋" w:eastAsia="仿宋" w:cs="仿宋"/>
          <w:i w:val="0"/>
          <w:caps w:val="0"/>
          <w:color w:val="auto"/>
          <w:spacing w:val="0"/>
          <w:sz w:val="32"/>
          <w:szCs w:val="32"/>
          <w:u w:val="none"/>
          <w:lang w:val="en-US" w:eastAsia="zh-CN"/>
        </w:rPr>
        <w:t>企业上一年度经审计净利润绝对值10%以上，且金额超过</w:t>
      </w:r>
      <w:r>
        <w:rPr>
          <w:rFonts w:hint="eastAsia" w:ascii="仿宋" w:hAnsi="仿宋" w:eastAsia="仿宋" w:cs="仿宋"/>
          <w:i w:val="0"/>
          <w:caps w:val="0"/>
          <w:color w:val="auto"/>
          <w:spacing w:val="0"/>
          <w:sz w:val="32"/>
          <w:szCs w:val="32"/>
          <w:u w:val="none"/>
          <w:lang w:val="en-US" w:eastAsia="zh-CN"/>
        </w:rPr>
        <w:t>10</w:t>
      </w:r>
      <w:r>
        <w:rPr>
          <w:rFonts w:hint="default" w:ascii="仿宋" w:hAnsi="仿宋" w:eastAsia="仿宋" w:cs="仿宋"/>
          <w:i w:val="0"/>
          <w:caps w:val="0"/>
          <w:color w:val="auto"/>
          <w:spacing w:val="0"/>
          <w:sz w:val="32"/>
          <w:szCs w:val="32"/>
          <w:u w:val="none"/>
          <w:lang w:val="en-US" w:eastAsia="zh-CN"/>
        </w:rPr>
        <w:t>00万元人民币或者等值外币；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caps w:val="0"/>
          <w:color w:val="auto"/>
          <w:spacing w:val="0"/>
          <w:sz w:val="32"/>
          <w:szCs w:val="32"/>
          <w:u w:val="none"/>
          <w:lang w:val="en-US" w:eastAsia="zh-CN"/>
        </w:rPr>
      </w:pPr>
      <w:r>
        <w:rPr>
          <w:rFonts w:hint="default" w:ascii="仿宋" w:hAnsi="仿宋" w:eastAsia="仿宋" w:cs="仿宋"/>
          <w:i w:val="0"/>
          <w:caps w:val="0"/>
          <w:color w:val="auto"/>
          <w:spacing w:val="0"/>
          <w:sz w:val="32"/>
          <w:szCs w:val="32"/>
          <w:u w:val="none"/>
          <w:lang w:val="en-US" w:eastAsia="zh-CN"/>
        </w:rPr>
        <w:t>（三）可能产生较大影响的群体性案件或者系列案件；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caps w:val="0"/>
          <w:color w:val="auto"/>
          <w:spacing w:val="0"/>
          <w:sz w:val="32"/>
          <w:szCs w:val="32"/>
          <w:u w:val="none"/>
          <w:lang w:val="en-US" w:eastAsia="zh-CN"/>
        </w:rPr>
      </w:pPr>
      <w:r>
        <w:rPr>
          <w:rFonts w:hint="default" w:ascii="仿宋" w:hAnsi="仿宋" w:eastAsia="仿宋" w:cs="仿宋"/>
          <w:i w:val="0"/>
          <w:caps w:val="0"/>
          <w:color w:val="auto"/>
          <w:spacing w:val="0"/>
          <w:sz w:val="32"/>
          <w:szCs w:val="32"/>
          <w:u w:val="none"/>
          <w:lang w:val="en-US" w:eastAsia="zh-CN"/>
        </w:rPr>
        <w:t>（四）涉及单位犯罪的刑事案件；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caps w:val="0"/>
          <w:color w:val="auto"/>
          <w:spacing w:val="0"/>
          <w:sz w:val="32"/>
          <w:szCs w:val="32"/>
          <w:u w:val="none"/>
          <w:lang w:val="en-US" w:eastAsia="zh-CN"/>
        </w:rPr>
      </w:pPr>
      <w:r>
        <w:rPr>
          <w:rFonts w:hint="default" w:ascii="仿宋" w:hAnsi="仿宋" w:eastAsia="仿宋" w:cs="仿宋"/>
          <w:i w:val="0"/>
          <w:caps w:val="0"/>
          <w:color w:val="auto"/>
          <w:spacing w:val="0"/>
          <w:sz w:val="32"/>
          <w:szCs w:val="32"/>
          <w:u w:val="none"/>
          <w:lang w:val="en-US" w:eastAsia="zh-CN"/>
        </w:rPr>
        <w:t>（五）其他涉及出资人</w:t>
      </w:r>
      <w:r>
        <w:rPr>
          <w:rFonts w:hint="eastAsia" w:ascii="仿宋" w:hAnsi="仿宋" w:eastAsia="仿宋" w:cs="仿宋"/>
          <w:i w:val="0"/>
          <w:caps w:val="0"/>
          <w:color w:val="auto"/>
          <w:spacing w:val="0"/>
          <w:sz w:val="32"/>
          <w:szCs w:val="32"/>
          <w:u w:val="none"/>
          <w:lang w:val="en-US" w:eastAsia="zh-CN"/>
        </w:rPr>
        <w:t>和省管</w:t>
      </w:r>
      <w:r>
        <w:rPr>
          <w:rFonts w:hint="default" w:ascii="仿宋" w:hAnsi="仿宋" w:eastAsia="仿宋" w:cs="仿宋"/>
          <w:i w:val="0"/>
          <w:caps w:val="0"/>
          <w:color w:val="auto"/>
          <w:spacing w:val="0"/>
          <w:sz w:val="32"/>
          <w:szCs w:val="32"/>
          <w:u w:val="none"/>
          <w:lang w:val="en-US" w:eastAsia="zh-CN"/>
        </w:rPr>
        <w:t>企业重大权益或者具有国内外重大影响的</w:t>
      </w:r>
      <w:r>
        <w:rPr>
          <w:rFonts w:hint="eastAsia" w:ascii="仿宋" w:hAnsi="仿宋" w:eastAsia="仿宋" w:cs="仿宋"/>
          <w:i w:val="0"/>
          <w:caps w:val="0"/>
          <w:color w:val="auto"/>
          <w:spacing w:val="0"/>
          <w:sz w:val="32"/>
          <w:szCs w:val="32"/>
          <w:u w:val="none"/>
          <w:lang w:val="en-US" w:eastAsia="zh-CN"/>
        </w:rPr>
        <w:t>案件</w:t>
      </w:r>
      <w:r>
        <w:rPr>
          <w:rFonts w:hint="default" w:ascii="仿宋" w:hAnsi="仿宋" w:eastAsia="仿宋" w:cs="仿宋"/>
          <w:i w:val="0"/>
          <w:caps w:val="0"/>
          <w:color w:val="auto"/>
          <w:spacing w:val="0"/>
          <w:sz w:val="32"/>
          <w:szCs w:val="32"/>
          <w:u w:val="none"/>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 xml:space="preserve">第二十五条 </w:t>
      </w:r>
      <w:r>
        <w:rPr>
          <w:rFonts w:hint="eastAsia" w:ascii="仿宋" w:hAnsi="仿宋" w:eastAsia="仿宋" w:cs="仿宋"/>
          <w:i w:val="0"/>
          <w:caps w:val="0"/>
          <w:color w:val="auto"/>
          <w:spacing w:val="0"/>
          <w:sz w:val="32"/>
          <w:szCs w:val="32"/>
          <w:u w:val="none"/>
          <w:lang w:val="en-US" w:eastAsia="zh-CN"/>
        </w:rPr>
        <w:t xml:space="preserve"> 省管企业重大案件报备应当包括以下内容：</w:t>
      </w:r>
    </w:p>
    <w:p>
      <w:pPr>
        <w:pStyle w:val="2"/>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val="en-US" w:eastAsia="zh-CN"/>
        </w:rPr>
        <w:t>当事人、案由、涉案金额、主要事实等基本案情；</w:t>
      </w:r>
    </w:p>
    <w:p>
      <w:pPr>
        <w:pStyle w:val="2"/>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宋体" w:hAnsi="宋体" w:eastAsia="宋体" w:cs="宋体"/>
          <w:i w:val="0"/>
          <w:color w:val="auto"/>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争议焦点、结果预判等法律分析意见；</w:t>
      </w:r>
    </w:p>
    <w:p>
      <w:pPr>
        <w:pStyle w:val="2"/>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宋体" w:hAnsi="宋体" w:eastAsia="宋体" w:cs="宋体"/>
          <w:i w:val="0"/>
          <w:color w:val="auto"/>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采取的措施和取得的效果；</w:t>
      </w:r>
    </w:p>
    <w:p>
      <w:pPr>
        <w:pStyle w:val="2"/>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宋体" w:hAnsi="宋体" w:eastAsia="宋体" w:cs="宋体"/>
          <w:i w:val="0"/>
          <w:color w:val="auto"/>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对企业已经或可能产生的影响；</w:t>
      </w:r>
    </w:p>
    <w:p>
      <w:pPr>
        <w:pStyle w:val="2"/>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宋体" w:hAnsi="宋体" w:eastAsia="宋体" w:cs="宋体"/>
          <w:i w:val="0"/>
          <w:color w:val="auto"/>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下一步工作安排。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第二十六条</w:t>
      </w:r>
      <w:r>
        <w:rPr>
          <w:rFonts w:hint="eastAsia" w:ascii="仿宋" w:hAnsi="仿宋" w:eastAsia="仿宋" w:cs="仿宋"/>
          <w:i w:val="0"/>
          <w:caps w:val="0"/>
          <w:color w:val="auto"/>
          <w:spacing w:val="0"/>
          <w:sz w:val="32"/>
          <w:szCs w:val="32"/>
          <w:u w:val="none"/>
          <w:lang w:val="en-US" w:eastAsia="zh-CN"/>
        </w:rPr>
        <w:t xml:space="preserve">  省管企业报备的重大案件处理完毕、取得生效法律文书后，</w:t>
      </w:r>
      <w:r>
        <w:rPr>
          <w:rFonts w:hint="eastAsia" w:ascii="仿宋" w:hAnsi="仿宋" w:eastAsia="仿宋" w:cs="仿宋"/>
          <w:sz w:val="31"/>
          <w:szCs w:val="31"/>
          <w:lang w:val="en-US" w:eastAsia="zh-CN"/>
        </w:rPr>
        <w:t>应当在20个工作日内向省政府国资委书面报告。报</w:t>
      </w:r>
      <w:r>
        <w:rPr>
          <w:rFonts w:hint="eastAsia" w:ascii="仿宋" w:hAnsi="仿宋" w:eastAsia="仿宋" w:cs="仿宋"/>
          <w:i w:val="0"/>
          <w:caps w:val="0"/>
          <w:color w:val="auto"/>
          <w:spacing w:val="0"/>
          <w:sz w:val="32"/>
          <w:szCs w:val="32"/>
          <w:u w:val="none"/>
          <w:lang w:val="en-US" w:eastAsia="zh-CN"/>
        </w:rPr>
        <w:t>告应当包括案件发生原因、处理过程、应该吸取的经验教训以及据此制定的改进措施等内容。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第二十七条</w:t>
      </w:r>
      <w:r>
        <w:rPr>
          <w:rFonts w:hint="eastAsia" w:ascii="仿宋" w:hAnsi="仿宋" w:eastAsia="仿宋" w:cs="仿宋"/>
          <w:i w:val="0"/>
          <w:caps w:val="0"/>
          <w:color w:val="auto"/>
          <w:spacing w:val="0"/>
          <w:sz w:val="32"/>
          <w:szCs w:val="32"/>
          <w:u w:val="none"/>
          <w:lang w:val="en-US" w:eastAsia="zh-CN"/>
        </w:rPr>
        <w:t xml:space="preserve">  省管企业应当将所属企业发生的、符合本办法第二十四条情形的重大案件当事人、涉案金额、工作进展等信息进行汇总，按季度报省政府国资委备案。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第二十八条</w:t>
      </w:r>
      <w:r>
        <w:rPr>
          <w:rFonts w:hint="eastAsia" w:ascii="仿宋" w:hAnsi="仿宋" w:eastAsia="仿宋" w:cs="仿宋"/>
          <w:i w:val="0"/>
          <w:caps w:val="0"/>
          <w:color w:val="auto"/>
          <w:spacing w:val="0"/>
          <w:sz w:val="32"/>
          <w:szCs w:val="32"/>
          <w:u w:val="none"/>
          <w:shd w:val="clear" w:color="auto" w:fill="FFFFFF"/>
          <w:lang w:val="en-US" w:eastAsia="zh-CN"/>
        </w:rPr>
        <w:t xml:space="preserve">  省管企业报送省政府国资委备案的文件应由省管企业主要负责人签发。</w:t>
      </w:r>
    </w:p>
    <w:p>
      <w:pPr>
        <w:pStyle w:val="2"/>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1"/>
          <w:szCs w:val="31"/>
          <w:lang w:val="en-US" w:eastAsia="zh-CN"/>
        </w:rPr>
      </w:pPr>
      <w:r>
        <w:rPr>
          <w:rFonts w:hint="eastAsia" w:ascii="黑体" w:hAnsi="宋体" w:eastAsia="黑体" w:cs="黑体"/>
          <w:i w:val="0"/>
          <w:caps w:val="0"/>
          <w:color w:val="auto"/>
          <w:spacing w:val="0"/>
          <w:sz w:val="32"/>
          <w:szCs w:val="32"/>
          <w:u w:val="none"/>
          <w:lang w:val="en-US" w:eastAsia="zh-CN"/>
        </w:rPr>
        <w:t>第二十九条</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shd w:val="clear" w:color="auto" w:fill="FFFFFF"/>
          <w:lang w:val="en-US" w:eastAsia="zh-CN"/>
        </w:rPr>
        <w:t>省管企业应当建立重大案件督办机制，加强专业指导和监督检查，通过印发督办函或者加强现场指导等方式，</w:t>
      </w:r>
      <w:r>
        <w:rPr>
          <w:rFonts w:hint="eastAsia" w:ascii="仿宋" w:hAnsi="仿宋" w:eastAsia="仿宋" w:cs="仿宋"/>
          <w:sz w:val="31"/>
          <w:szCs w:val="31"/>
          <w:lang w:val="en-US" w:eastAsia="zh-CN"/>
        </w:rPr>
        <w:t>督促所属企业落实主体责任，妥善处理案件，依法维护权益。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i w:val="0"/>
          <w:caps w:val="0"/>
          <w:color w:val="auto"/>
          <w:spacing w:val="0"/>
          <w:sz w:val="32"/>
          <w:szCs w:val="32"/>
          <w:shd w:val="clear" w:color="auto" w:fill="FFFFFF"/>
          <w:lang w:val="en-US" w:eastAsia="zh-CN"/>
        </w:rPr>
        <w:t>第三十条</w:t>
      </w:r>
      <w:r>
        <w:rPr>
          <w:rFonts w:hint="eastAsia" w:ascii="仿宋" w:hAnsi="仿宋" w:eastAsia="仿宋" w:cs="仿宋"/>
          <w:i w:val="0"/>
          <w:caps w:val="0"/>
          <w:color w:val="auto"/>
          <w:spacing w:val="0"/>
          <w:sz w:val="32"/>
          <w:szCs w:val="32"/>
          <w:shd w:val="clear" w:color="auto" w:fill="FFFFFF"/>
          <w:lang w:val="en-US" w:eastAsia="zh-CN"/>
        </w:rPr>
        <w:t xml:space="preserve">  省管企业之间发生重大案件，鼓励通过协商解决；协商不成的，可以报省政府国资委指导协调。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i w:val="0"/>
          <w:caps w:val="0"/>
          <w:color w:val="auto"/>
          <w:spacing w:val="0"/>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宋体" w:eastAsia="黑体" w:cs="黑体"/>
          <w:i w:val="0"/>
          <w:caps w:val="0"/>
          <w:color w:val="auto"/>
          <w:spacing w:val="0"/>
          <w:sz w:val="32"/>
          <w:szCs w:val="32"/>
          <w:u w:val="none"/>
          <w:lang w:val="en-US" w:eastAsia="zh-CN"/>
        </w:rPr>
      </w:pPr>
      <w:r>
        <w:rPr>
          <w:rFonts w:hint="default" w:ascii="黑体" w:hAnsi="宋体" w:eastAsia="黑体" w:cs="黑体"/>
          <w:i w:val="0"/>
          <w:caps w:val="0"/>
          <w:color w:val="auto"/>
          <w:spacing w:val="0"/>
          <w:sz w:val="32"/>
          <w:szCs w:val="32"/>
          <w:u w:val="none"/>
          <w:lang w:val="en" w:eastAsia="zh-CN"/>
        </w:rPr>
        <w:t>第</w:t>
      </w:r>
      <w:r>
        <w:rPr>
          <w:rFonts w:hint="eastAsia" w:ascii="黑体" w:hAnsi="宋体" w:eastAsia="黑体" w:cs="黑体"/>
          <w:i w:val="0"/>
          <w:caps w:val="0"/>
          <w:color w:val="auto"/>
          <w:spacing w:val="0"/>
          <w:sz w:val="32"/>
          <w:szCs w:val="32"/>
          <w:u w:val="none"/>
          <w:lang w:val="en-US" w:eastAsia="zh-CN"/>
        </w:rPr>
        <w:t>五章  中介机构管理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黑体" w:hAnsi="宋体" w:eastAsia="黑体" w:cs="黑体"/>
          <w:i w:val="0"/>
          <w:caps w:val="0"/>
          <w:color w:val="auto"/>
          <w:spacing w:val="0"/>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第三十一条</w:t>
      </w:r>
      <w:r>
        <w:rPr>
          <w:rFonts w:hint="eastAsia" w:ascii="仿宋" w:hAnsi="仿宋" w:eastAsia="仿宋" w:cs="仿宋"/>
          <w:i w:val="0"/>
          <w:caps w:val="0"/>
          <w:color w:val="auto"/>
          <w:spacing w:val="0"/>
          <w:sz w:val="32"/>
          <w:szCs w:val="32"/>
          <w:u w:val="none"/>
          <w:lang w:val="en-US" w:eastAsia="zh-CN"/>
        </w:rPr>
        <w:t xml:space="preserve">  省管企业应当完善法律服务中介机构管理制度，科学确定选聘方式，明确选聘条件、流程等，加强对中介机构的使用和管理，确保依法合规、公平公正。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第三十二条</w:t>
      </w:r>
      <w:r>
        <w:rPr>
          <w:rFonts w:hint="eastAsia" w:ascii="仿宋" w:hAnsi="仿宋" w:eastAsia="仿宋" w:cs="仿宋"/>
          <w:i w:val="0"/>
          <w:caps w:val="0"/>
          <w:color w:val="auto"/>
          <w:spacing w:val="0"/>
          <w:sz w:val="32"/>
          <w:szCs w:val="32"/>
          <w:u w:val="none"/>
          <w:lang w:val="en-US" w:eastAsia="zh-CN"/>
        </w:rPr>
        <w:t xml:space="preserve">  省管企业在案件处理过程中应当发挥主导作用，加强对法律服务中介机构的指导监督，有效整合内外部资源，及时掌握进展情况，切实强化对重大事项的审核把关，严格落实保密管理各项要求。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第三十三条</w:t>
      </w:r>
      <w:r>
        <w:rPr>
          <w:rFonts w:hint="eastAsia" w:ascii="仿宋" w:hAnsi="仿宋" w:eastAsia="仿宋" w:cs="仿宋"/>
          <w:i w:val="0"/>
          <w:caps w:val="0"/>
          <w:color w:val="auto"/>
          <w:spacing w:val="0"/>
          <w:sz w:val="32"/>
          <w:szCs w:val="32"/>
          <w:u w:val="none"/>
          <w:lang w:val="en-US" w:eastAsia="zh-CN"/>
        </w:rPr>
        <w:t xml:space="preserve">  省管企业应当建立法律服务中介机构评价机制，根据专业能力、服务质量、工作效果、资信状况等进行动态管理，对不能胜任的及时调整。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第三十四条</w:t>
      </w:r>
      <w:r>
        <w:rPr>
          <w:rFonts w:hint="eastAsia" w:ascii="仿宋" w:hAnsi="仿宋" w:eastAsia="仿宋" w:cs="仿宋"/>
          <w:i w:val="0"/>
          <w:caps w:val="0"/>
          <w:color w:val="auto"/>
          <w:spacing w:val="0"/>
          <w:sz w:val="32"/>
          <w:szCs w:val="32"/>
          <w:u w:val="none"/>
          <w:lang w:val="en-US" w:eastAsia="zh-CN"/>
        </w:rPr>
        <w:t xml:space="preserve">  省管企业应当严格按照有关规定，规范使用风险代理，明确审批权限和程序，综合考虑案件难易程度、涉案金额等，明晰风险责任，合理确定费用。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第六章  奖惩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kern w:val="0"/>
          <w:sz w:val="32"/>
          <w:szCs w:val="32"/>
          <w:u w:val="none"/>
          <w:lang w:val="en-US" w:eastAsia="zh-CN" w:bidi="ar"/>
        </w:rPr>
        <w:t xml:space="preserve">第三十五条 </w:t>
      </w:r>
      <w:r>
        <w:rPr>
          <w:rFonts w:hint="eastAsia" w:ascii="仿宋" w:hAnsi="仿宋" w:eastAsia="仿宋" w:cs="仿宋"/>
          <w:i w:val="0"/>
          <w:caps w:val="0"/>
          <w:color w:val="auto"/>
          <w:spacing w:val="0"/>
          <w:sz w:val="32"/>
          <w:szCs w:val="32"/>
          <w:u w:val="none"/>
          <w:lang w:val="en-US" w:eastAsia="zh-CN"/>
        </w:rPr>
        <w:t xml:space="preserve"> 省管企业应当建立健全案件管理激励机制，明确条件和标准，对在案件处理过程中避免或者挽回损失的部门、人员给予表彰和奖励。</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第三十六条</w:t>
      </w:r>
      <w:r>
        <w:rPr>
          <w:rFonts w:hint="eastAsia" w:ascii="仿宋" w:hAnsi="仿宋" w:eastAsia="仿宋" w:cs="仿宋"/>
          <w:i w:val="0"/>
          <w:caps w:val="0"/>
          <w:color w:val="auto"/>
          <w:spacing w:val="0"/>
          <w:sz w:val="32"/>
          <w:szCs w:val="32"/>
          <w:u w:val="none"/>
          <w:lang w:val="en-US" w:eastAsia="zh-CN"/>
        </w:rPr>
        <w:t xml:space="preserve">  省管企业在案件处理过程中，发现相关部门或者个人在经营管理中存在违规行为，造成资产损失或者其他严重不良后果的，应当开展责任追究；对涉嫌违纪违法的，按照规定移交相关部门或者机构处理。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第三十七条</w:t>
      </w:r>
      <w:r>
        <w:rPr>
          <w:rFonts w:hint="eastAsia" w:ascii="仿宋" w:hAnsi="仿宋" w:eastAsia="仿宋" w:cs="仿宋"/>
          <w:i w:val="0"/>
          <w:caps w:val="0"/>
          <w:color w:val="auto"/>
          <w:spacing w:val="0"/>
          <w:sz w:val="32"/>
          <w:szCs w:val="32"/>
          <w:u w:val="none"/>
          <w:lang w:val="en-US" w:eastAsia="zh-CN"/>
        </w:rPr>
        <w:t xml:space="preserve">  省管企业对有关人员在案件管理过程中玩忽职守、滥用职权、谋取私利，给企业造成资产损失或者其他严重不良后果的，应当按照规定追究相关人员责任。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第三十八条</w:t>
      </w:r>
      <w:r>
        <w:rPr>
          <w:rFonts w:hint="eastAsia" w:ascii="仿宋" w:hAnsi="仿宋" w:eastAsia="仿宋" w:cs="仿宋"/>
          <w:i w:val="0"/>
          <w:caps w:val="0"/>
          <w:color w:val="auto"/>
          <w:spacing w:val="0"/>
          <w:sz w:val="32"/>
          <w:szCs w:val="32"/>
          <w:u w:val="none"/>
          <w:lang w:val="en-US" w:eastAsia="zh-CN"/>
        </w:rPr>
        <w:t xml:space="preserve">  省政府国资委对省管企业违反本办法规定，因案件管理不到位造成损失的，可以约谈相关企业负责人并责令整改；对因违规行为引发重大案件并造成重大损失的，根据有关规定在省管企业负责人经营业绩考核中扣减相应分值，</w:t>
      </w:r>
      <w:r>
        <w:rPr>
          <w:rFonts w:hint="eastAsia" w:ascii="仿宋" w:hAnsi="仿宋" w:eastAsia="仿宋" w:cs="仿宋"/>
          <w:sz w:val="31"/>
          <w:szCs w:val="31"/>
          <w:lang w:val="en-US" w:eastAsia="zh-CN"/>
        </w:rPr>
        <w:t>并对相关人员开展责任追究</w:t>
      </w:r>
      <w:r>
        <w:rPr>
          <w:rFonts w:hint="eastAsia" w:ascii="仿宋" w:hAnsi="仿宋" w:eastAsia="仿宋" w:cs="仿宋"/>
          <w:i w:val="0"/>
          <w:caps w:val="0"/>
          <w:color w:val="auto"/>
          <w:spacing w:val="0"/>
          <w:sz w:val="32"/>
          <w:szCs w:val="32"/>
          <w:u w:val="none"/>
          <w:lang w:val="en-US" w:eastAsia="zh-CN"/>
        </w:rPr>
        <w:t>；对涉嫌违纪违法的，按照规定移交相关部门或者机构处理。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olor w:val="auto"/>
          <w:sz w:val="32"/>
          <w:szCs w:val="32"/>
          <w:u w:val="none"/>
          <w:lang w:val="en-US" w:eastAsia="zh-CN"/>
        </w:rPr>
      </w:pPr>
      <w:r>
        <w:rPr>
          <w:rFonts w:hint="eastAsia" w:ascii="黑体" w:hAnsi="宋体" w:eastAsia="黑体" w:cs="黑体"/>
          <w:i w:val="0"/>
          <w:caps w:val="0"/>
          <w:color w:val="auto"/>
          <w:spacing w:val="0"/>
          <w:sz w:val="32"/>
          <w:szCs w:val="32"/>
          <w:u w:val="none"/>
          <w:lang w:val="en-US" w:eastAsia="zh-CN"/>
        </w:rPr>
        <w:t>第三十九条</w:t>
      </w:r>
      <w:r>
        <w:rPr>
          <w:rFonts w:hint="eastAsia" w:ascii="仿宋" w:hAnsi="仿宋" w:eastAsia="仿宋" w:cs="仿宋"/>
          <w:i w:val="0"/>
          <w:caps w:val="0"/>
          <w:color w:val="auto"/>
          <w:spacing w:val="0"/>
          <w:sz w:val="32"/>
          <w:szCs w:val="32"/>
          <w:u w:val="none"/>
          <w:lang w:val="en-US" w:eastAsia="zh-CN"/>
        </w:rPr>
        <w:t xml:space="preserve">  各</w:t>
      </w:r>
      <w:r>
        <w:rPr>
          <w:rFonts w:hint="eastAsia" w:ascii="仿宋" w:hAnsi="仿宋" w:eastAsia="仿宋" w:cs="仿宋"/>
          <w:color w:val="auto"/>
          <w:kern w:val="0"/>
          <w:sz w:val="32"/>
          <w:szCs w:val="32"/>
          <w:lang w:val="en-US" w:eastAsia="zh-CN" w:bidi="ar"/>
        </w:rPr>
        <w:t>省辖市、济源示范区、航空港区管委会国资监管机构参照本办法，指导所出资企业加强案件管理工作。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黑体" w:hAnsi="宋体" w:eastAsia="黑体" w:cs="黑体"/>
          <w:i w:val="0"/>
          <w:caps w:val="0"/>
          <w:color w:val="auto"/>
          <w:spacing w:val="0"/>
          <w:sz w:val="32"/>
          <w:szCs w:val="32"/>
          <w:u w:val="none"/>
          <w:lang w:val="en-US" w:eastAsia="zh-CN"/>
        </w:rPr>
        <w:t>第四十条</w:t>
      </w:r>
      <w:r>
        <w:rPr>
          <w:rFonts w:hint="eastAsia" w:ascii="仿宋" w:hAnsi="仿宋" w:eastAsia="仿宋" w:cs="仿宋"/>
          <w:i w:val="0"/>
          <w:caps w:val="0"/>
          <w:color w:val="auto"/>
          <w:spacing w:val="0"/>
          <w:sz w:val="32"/>
          <w:szCs w:val="32"/>
          <w:u w:val="none"/>
          <w:lang w:val="en-US" w:eastAsia="zh-CN"/>
        </w:rPr>
        <w:t xml:space="preserve">  本办法由省政府国资委负责解释。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color w:val="auto"/>
          <w:kern w:val="0"/>
          <w:sz w:val="32"/>
          <w:szCs w:val="32"/>
          <w:lang w:val="en-US" w:eastAsia="zh-CN" w:bidi="ar"/>
        </w:rPr>
        <w:t>第四十一条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i w:val="0"/>
          <w:caps w:val="0"/>
          <w:color w:val="auto"/>
          <w:spacing w:val="0"/>
          <w:sz w:val="32"/>
          <w:szCs w:val="32"/>
          <w:u w:val="none"/>
          <w:lang w:val="en-US" w:eastAsia="zh-CN"/>
        </w:rPr>
        <w:t>本办法自印发之日起施行。《省政府国资委关于做好省管企业重大法律纠纷案件管理工作的通知》（豫国资法规</w:t>
      </w:r>
      <w:r>
        <w:rPr>
          <w:rFonts w:hint="eastAsia" w:ascii="仿宋" w:hAnsi="仿宋" w:eastAsia="仿宋" w:cs="仿宋"/>
          <w:color w:val="auto"/>
          <w:sz w:val="32"/>
          <w:szCs w:val="32"/>
          <w:u w:val="none"/>
          <w:lang w:val="en-US" w:eastAsia="zh-CN"/>
        </w:rPr>
        <w:t>〔</w:t>
      </w:r>
      <w:r>
        <w:rPr>
          <w:rFonts w:hint="eastAsia" w:ascii="仿宋" w:hAnsi="仿宋" w:eastAsia="仿宋" w:cs="仿宋"/>
          <w:i w:val="0"/>
          <w:caps w:val="0"/>
          <w:color w:val="auto"/>
          <w:spacing w:val="0"/>
          <w:sz w:val="32"/>
          <w:szCs w:val="32"/>
          <w:u w:val="none"/>
          <w:lang w:val="en-US" w:eastAsia="zh-CN"/>
        </w:rPr>
        <w:t>2019</w:t>
      </w:r>
      <w:r>
        <w:rPr>
          <w:rFonts w:hint="eastAsia" w:ascii="仿宋" w:hAnsi="仿宋" w:eastAsia="仿宋" w:cs="仿宋"/>
          <w:color w:val="auto"/>
          <w:sz w:val="32"/>
          <w:szCs w:val="32"/>
          <w:u w:val="none"/>
          <w:lang w:val="en-US" w:eastAsia="zh-CN"/>
        </w:rPr>
        <w:t>〕</w:t>
      </w:r>
      <w:r>
        <w:rPr>
          <w:rFonts w:hint="eastAsia" w:ascii="仿宋" w:hAnsi="仿宋" w:eastAsia="仿宋" w:cs="仿宋"/>
          <w:i w:val="0"/>
          <w:caps w:val="0"/>
          <w:color w:val="auto"/>
          <w:spacing w:val="0"/>
          <w:sz w:val="32"/>
          <w:szCs w:val="32"/>
          <w:u w:val="none"/>
          <w:lang w:val="en-US" w:eastAsia="zh-CN"/>
        </w:rPr>
        <w:t>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3212">
    <w:altName w:val="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0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3212"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2024-07-11T07:23:09Z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