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上年度息县农机购置补贴落实情况</w:t>
      </w:r>
    </w:p>
    <w:p>
      <w:pPr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02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年上级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分两批</w:t>
      </w:r>
      <w:r>
        <w:rPr>
          <w:rFonts w:hint="eastAsia" w:ascii="仿宋" w:hAnsi="仿宋" w:eastAsia="仿宋" w:cs="仿宋"/>
          <w:sz w:val="32"/>
          <w:szCs w:val="32"/>
        </w:rPr>
        <w:t>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息县</w:t>
      </w:r>
      <w:r>
        <w:rPr>
          <w:rFonts w:hint="eastAsia" w:ascii="仿宋" w:hAnsi="仿宋" w:eastAsia="仿宋" w:cs="仿宋"/>
          <w:sz w:val="32"/>
          <w:szCs w:val="32"/>
        </w:rPr>
        <w:t>农机购置补贴补贴资金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2898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超额使用补贴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年可用补贴资金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2759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我县为减少人员聚集、方便群众和提高工作效率，在全市率先通过手机APP、“一站式”服务大厅、下乡入户多种方式受理补贴申请，补贴各类机械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1291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台，使用补贴资金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2887.99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万元，补贴资金于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月底已全部通过</w:t>
      </w:r>
      <w:r>
        <w:rPr>
          <w:rFonts w:hint="eastAsia" w:ascii="仿宋" w:hAnsi="仿宋" w:eastAsia="仿宋" w:cs="仿宋"/>
          <w:sz w:val="32"/>
          <w:szCs w:val="32"/>
        </w:rPr>
        <w:t>惠民惠农财政补贴资金管理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一卡通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发放到户，资金使用率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%，圆满完成农机购置补贴工作任务。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6903"/>
    <w:rsid w:val="21516903"/>
    <w:rsid w:val="27D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2023-08-31T03:02:00Z</dcterms:created>
  <dc:creator>张俊</dc:creator>
  <cp:lastModifiedBy>张俊</cp:lastModifiedBy>
  <dcterms:modified xsi:type="dcterms:W3CDTF">2023-08-31T03:32:16Z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