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442" w:firstLineChars="100"/>
        <w:rPr>
          <w:rFonts w:hint="eastAsia"/>
        </w:rPr>
      </w:pPr>
      <w:r>
        <w:rPr>
          <w:rFonts w:hint="eastAsia"/>
          <w:lang w:val="en-US" w:eastAsia="zh-CN"/>
        </w:rPr>
        <w:t>2022年度光山县</w:t>
      </w:r>
      <w:r>
        <w:rPr>
          <w:rFonts w:hint="eastAsia"/>
        </w:rPr>
        <w:t>农机购置补贴落实情况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2022年我县严格落实农机购置补贴有关政策，确保农机补贴资金规范、有序、精准落实到位，具体情况如下：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2022年上级下达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我县国家农机购置补贴资金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1550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，省级累加补贴资金42万元。当年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兑付完成1591.949万元,结余0.051万元补贴资金下年度继续使用（其中国家补贴资金结余0.024万元、省级补贴资金结余0.027万）。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我县农机购置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政策总体来说严格规范科学有序。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资金兑付及时规范准确。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补贴资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金能够在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当年下达的资金规模和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规定的时限内及时结算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兑付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到位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，没有发生拖欠补贴资金兑付现象，资金使用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规范精准。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严格执行补贴资金专款专用规定，不存在挤占、挪用、滞留等问题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，资金支付责任严格履行到位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严格落实农机补贴标准。不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存在异常购置和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标准过高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补贴额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超过单机补贴限额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/>
    <w:p/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光山县农业机械化技术中心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M2VjYzEzMzM4Y2NiZTczOGQwNTdiYTczNzRiMWIifQ=="/>
  </w:docVars>
  <w:rsids>
    <w:rsidRoot w:val="758A2208"/>
    <w:rsid w:val="758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2023-08-30T09:15:00Z</dcterms:created>
  <dc:creator>LENOVO</dc:creator>
  <cp:lastModifiedBy>LENOVO</cp:lastModifiedBy>
  <dcterms:modified xsi:type="dcterms:W3CDTF">2023-08-30T09:21:44Z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AB73039C0A1D4A7891A001037551A73C_11</vt:lpwstr>
  </property>
</Properties>
</file>