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源汇区2023年</w:t>
      </w:r>
      <w:r>
        <w:rPr>
          <w:rFonts w:hint="eastAsia"/>
          <w:b/>
          <w:bCs/>
          <w:sz w:val="44"/>
          <w:szCs w:val="44"/>
        </w:rPr>
        <w:t>农</w:t>
      </w:r>
      <w:r>
        <w:rPr>
          <w:rFonts w:hint="eastAsia"/>
          <w:b/>
          <w:bCs/>
          <w:sz w:val="44"/>
          <w:szCs w:val="44"/>
          <w:lang w:val="en-US" w:eastAsia="zh-CN"/>
        </w:rPr>
        <w:t>业机械</w:t>
      </w:r>
      <w:r>
        <w:rPr>
          <w:rFonts w:hint="eastAsia"/>
          <w:b/>
          <w:bCs/>
          <w:sz w:val="44"/>
          <w:szCs w:val="44"/>
        </w:rPr>
        <w:t>报废</w:t>
      </w:r>
      <w:r>
        <w:rPr>
          <w:rFonts w:hint="eastAsia"/>
          <w:b/>
          <w:bCs/>
          <w:sz w:val="44"/>
          <w:szCs w:val="44"/>
          <w:lang w:val="en-US" w:eastAsia="zh-CN"/>
        </w:rPr>
        <w:t>更新</w:t>
      </w:r>
      <w:r>
        <w:rPr>
          <w:rFonts w:hint="eastAsia"/>
          <w:b/>
          <w:bCs/>
          <w:sz w:val="44"/>
          <w:szCs w:val="44"/>
        </w:rPr>
        <w:t>补贴</w:t>
      </w:r>
    </w:p>
    <w:p>
      <w:pPr>
        <w:ind w:firstLine="3534" w:firstLineChars="800"/>
        <w:jc w:val="both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通      </w:t>
      </w:r>
      <w:r>
        <w:rPr>
          <w:rFonts w:hint="eastAsia"/>
          <w:b/>
          <w:bCs/>
          <w:sz w:val="44"/>
          <w:szCs w:val="44"/>
        </w:rPr>
        <w:t>告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根据河南省农业农村厅、河南省财政厅、河南省商务厅《河南省农业机械报废更新补贴实施方案》（豫农文〔2020〕216号）文件要求，结合我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</w:t>
      </w:r>
      <w:r>
        <w:rPr>
          <w:rFonts w:hint="eastAsia" w:ascii="仿宋" w:hAnsi="仿宋" w:eastAsia="仿宋" w:cs="仿宋"/>
          <w:sz w:val="32"/>
          <w:szCs w:val="32"/>
        </w:rPr>
        <w:t>实际，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经报废更新补贴领导小组研究决定从9月27日开始报废一批</w:t>
      </w:r>
      <w:r>
        <w:rPr>
          <w:rFonts w:hint="eastAsia" w:ascii="仿宋" w:hAnsi="仿宋" w:eastAsia="仿宋" w:cs="仿宋"/>
          <w:sz w:val="32"/>
          <w:szCs w:val="32"/>
        </w:rPr>
        <w:t>耗能高、污染重、安全性能低的老旧农机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将</w:t>
      </w:r>
      <w:r>
        <w:rPr>
          <w:rFonts w:hint="eastAsia" w:ascii="仿宋" w:hAnsi="仿宋" w:eastAsia="仿宋" w:cs="仿宋"/>
          <w:sz w:val="32"/>
          <w:szCs w:val="32"/>
        </w:rPr>
        <w:t>报废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更新</w:t>
      </w:r>
      <w:r>
        <w:rPr>
          <w:rFonts w:hint="eastAsia" w:ascii="仿宋" w:hAnsi="仿宋" w:eastAsia="仿宋" w:cs="仿宋"/>
          <w:sz w:val="32"/>
          <w:szCs w:val="32"/>
        </w:rPr>
        <w:t>补贴事宜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</w:t>
      </w:r>
      <w:r>
        <w:rPr>
          <w:rFonts w:hint="eastAsia" w:ascii="仿宋" w:hAnsi="仿宋" w:eastAsia="仿宋" w:cs="仿宋"/>
          <w:sz w:val="32"/>
          <w:szCs w:val="32"/>
        </w:rPr>
        <w:t>告如下：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b/>
          <w:sz w:val="32"/>
          <w:szCs w:val="32"/>
        </w:rPr>
        <w:t>补贴范围及补贴标准：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全区从事</w:t>
      </w:r>
      <w:r>
        <w:rPr>
          <w:rFonts w:hint="eastAsia" w:ascii="仿宋" w:hAnsi="仿宋" w:eastAsia="仿宋" w:cs="仿宋"/>
          <w:sz w:val="32"/>
          <w:szCs w:val="32"/>
        </w:rPr>
        <w:t>农业生产的个人和农业生产经营组织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农业生产经营组织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包括</w:t>
      </w:r>
      <w:r>
        <w:rPr>
          <w:rFonts w:hint="eastAsia" w:ascii="仿宋" w:hAnsi="仿宋" w:eastAsia="仿宋" w:cs="仿宋"/>
          <w:sz w:val="32"/>
          <w:szCs w:val="32"/>
        </w:rPr>
        <w:t>农村集</w:t>
      </w:r>
      <w:bookmarkStart w:id="3" w:name="_GoBack"/>
      <w:bookmarkEnd w:id="3"/>
      <w:r>
        <w:rPr>
          <w:rFonts w:hint="eastAsia" w:ascii="仿宋" w:hAnsi="仿宋" w:eastAsia="仿宋" w:cs="仿宋"/>
          <w:sz w:val="32"/>
          <w:szCs w:val="32"/>
        </w:rPr>
        <w:t>体经济组织、农民专业合作经济组织、农业企业和其他从事农业生产经营的组织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所购买的农机达到报废标准的。报废补贴资金从中央农机购置补贴资金中安排。报废更新补贴实行定额补贴，补贴标准见附件1。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仿宋"/>
          <w:b/>
          <w:sz w:val="32"/>
          <w:szCs w:val="32"/>
        </w:rPr>
        <w:t>报废补贴种类：</w:t>
      </w:r>
      <w:r>
        <w:rPr>
          <w:rFonts w:hint="eastAsia" w:ascii="仿宋" w:hAnsi="仿宋" w:eastAsia="仿宋" w:cs="仿宋"/>
          <w:sz w:val="32"/>
          <w:szCs w:val="32"/>
        </w:rPr>
        <w:t>补贴报废农机种类为拖拉机、联合收割机、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饲料（草）粉碎机、</w:t>
      </w:r>
      <w:r>
        <w:rPr>
          <w:rFonts w:hint="eastAsia" w:ascii="仿宋" w:hAnsi="仿宋" w:eastAsia="仿宋" w:cs="仿宋"/>
          <w:sz w:val="32"/>
          <w:szCs w:val="32"/>
        </w:rPr>
        <w:t>玉米脱粒机、花生摘果机、铡草机。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/>
          <w:sz w:val="32"/>
          <w:szCs w:val="32"/>
        </w:rPr>
        <w:t>、报废补贴条件：</w:t>
      </w:r>
      <w:r>
        <w:rPr>
          <w:rFonts w:hint="eastAsia" w:ascii="仿宋" w:hAnsi="仿宋" w:eastAsia="仿宋" w:cs="仿宋"/>
          <w:sz w:val="32"/>
          <w:szCs w:val="32"/>
        </w:rPr>
        <w:t>申请报废的农机应当主要部件齐全，来源清楚合法，不能提供发票的申请人，经村委会核实后填写承诺书；纳入牌证管理的农机需要提供监理机构核发的牌证；无牌证或未纳入牌证管理的，应当具有铭牌或出厂编号、车架号等机具身份信息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对符合下列条件之一的可申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请</w:t>
      </w:r>
      <w:r>
        <w:rPr>
          <w:rFonts w:hint="eastAsia" w:ascii="仿宋" w:hAnsi="仿宋" w:eastAsia="仿宋" w:cs="仿宋"/>
          <w:sz w:val="32"/>
          <w:szCs w:val="32"/>
        </w:rPr>
        <w:t>办理报废。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达到报废年限的。小型拖拉机报废年限为10年、大中型拖拉机报废年限为15年、履带拖拉机报废年限为12年、自走式联合收割机报废年限为12年、悬挂式玉米联合收割机报废年限为10年、饲料（草）粉碎机报废年限为10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玉米脱粒机报废年限为8年、花生摘果机报废年限为8年、铡草机报废年限为10年；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2、使用年限或累计工作时间不足，经过检查调整或更换易损件后仍然达不到规定技术要求的；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3、由于各种原因造成严重损坏、无法修复的；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4、预计大修费用大于同类新产品50%的；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5、未达到报废年限，但技术状况差且无配件来源的；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6、国家明令淘汰的。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75" w:lineRule="atLeast"/>
        <w:ind w:left="105" w:leftChars="50" w:right="210" w:rightChars="100" w:firstLine="640"/>
        <w:jc w:val="both"/>
        <w:textAlignment w:val="auto"/>
        <w:rPr>
          <w:rFonts w:hint="eastAsia" w:ascii="仿宋" w:hAnsi="仿宋" w:eastAsia="仿宋" w:cs="仿宋"/>
          <w:b w:val="0"/>
          <w:bCs w:val="0"/>
          <w:snapToGrid w:val="0"/>
          <w:color w:val="auto"/>
          <w:kern w:val="10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/>
          <w:sz w:val="32"/>
          <w:szCs w:val="32"/>
        </w:rPr>
        <w:t>、报废补贴程序：（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b/>
          <w:sz w:val="32"/>
          <w:szCs w:val="32"/>
        </w:rPr>
        <w:t>）报废旧机。</w:t>
      </w:r>
      <w:r>
        <w:rPr>
          <w:rFonts w:hint="eastAsia" w:ascii="仿宋" w:hAnsi="仿宋" w:eastAsia="仿宋" w:cs="仿宋"/>
          <w:sz w:val="32"/>
          <w:szCs w:val="32"/>
        </w:rPr>
        <w:t>机主自愿将拟报废的农机交售给经公布的回收企业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报废农机残值由回收企业与机主按照公平自愿原则商定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回收企业应当核对机主和拟报废的农机信息，向机主出具《报废农业机械回收确认表》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向当地农业机械化主管部门提供机主和报废农机信息。</w:t>
      </w:r>
      <w:r>
        <w:rPr>
          <w:rFonts w:hint="eastAsia" w:ascii="仿宋" w:hAnsi="仿宋" w:eastAsia="仿宋" w:cs="仿宋"/>
          <w:b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sz w:val="32"/>
          <w:szCs w:val="32"/>
        </w:rPr>
        <w:t>）注销登记。</w:t>
      </w:r>
      <w:r>
        <w:rPr>
          <w:rFonts w:hint="eastAsia" w:ascii="仿宋" w:hAnsi="仿宋" w:eastAsia="仿宋" w:cs="仿宋"/>
          <w:sz w:val="32"/>
          <w:szCs w:val="32"/>
        </w:rPr>
        <w:t>纳入牌证管理的拖拉机和联合收割机机主持《确认表》和相关证照，到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源汇区</w:t>
      </w:r>
      <w:r>
        <w:rPr>
          <w:rFonts w:hint="eastAsia" w:ascii="仿宋" w:hAnsi="仿宋" w:eastAsia="仿宋" w:cs="仿宋"/>
          <w:sz w:val="32"/>
          <w:szCs w:val="32"/>
        </w:rPr>
        <w:t>农机牌证管理机构依法办理牌证注销手续。</w:t>
      </w:r>
      <w:r>
        <w:rPr>
          <w:rFonts w:hint="eastAsia" w:ascii="仿宋" w:hAnsi="仿宋" w:eastAsia="仿宋" w:cs="仿宋"/>
          <w:snapToGrid w:val="0"/>
          <w:kern w:val="10"/>
          <w:sz w:val="32"/>
          <w:szCs w:val="32"/>
        </w:rPr>
        <w:t>相关机构核对机主和报废农机信息后，在《确认表》上签注“已办理注销登记”字样。</w:t>
      </w:r>
      <w:r>
        <w:rPr>
          <w:rFonts w:hint="eastAsia" w:ascii="仿宋" w:hAnsi="仿宋" w:eastAsia="仿宋" w:cs="仿宋"/>
          <w:b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/>
          <w:sz w:val="32"/>
          <w:szCs w:val="32"/>
        </w:rPr>
        <w:t>）兑现补贴。</w:t>
      </w:r>
      <w:r>
        <w:rPr>
          <w:rFonts w:hint="eastAsia" w:ascii="仿宋" w:hAnsi="仿宋" w:eastAsia="仿宋" w:cs="仿宋"/>
          <w:sz w:val="32"/>
          <w:szCs w:val="32"/>
        </w:rPr>
        <w:t>机主凭有效的《确认表》，按照相关规定申请补贴。</w:t>
      </w:r>
      <w:r>
        <w:rPr>
          <w:rFonts w:hint="eastAsia" w:ascii="仿宋" w:hAnsi="仿宋" w:eastAsia="仿宋" w:cs="仿宋"/>
          <w:snapToGrid w:val="0"/>
          <w:kern w:val="10"/>
          <w:sz w:val="32"/>
          <w:szCs w:val="32"/>
          <w:lang w:val="en-US" w:eastAsia="zh-CN"/>
        </w:rPr>
        <w:t>农业机械化主管部门负责对申请资料进行审核，</w:t>
      </w:r>
      <w:r>
        <w:rPr>
          <w:rFonts w:hint="eastAsia" w:ascii="仿宋" w:hAnsi="仿宋" w:eastAsia="仿宋" w:cs="仿宋"/>
          <w:snapToGrid w:val="0"/>
          <w:kern w:val="10"/>
          <w:sz w:val="32"/>
          <w:szCs w:val="32"/>
        </w:rPr>
        <w:t>财政部门向符合要求的机主兑现补贴资金</w:t>
      </w:r>
      <w:r>
        <w:rPr>
          <w:rFonts w:hint="eastAsia" w:ascii="仿宋" w:hAnsi="仿宋" w:eastAsia="仿宋" w:cs="仿宋"/>
          <w:snapToGrid w:val="0"/>
          <w:kern w:val="1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napToGrid w:val="0"/>
          <w:kern w:val="10"/>
          <w:sz w:val="32"/>
          <w:szCs w:val="32"/>
          <w:lang w:val="en-US" w:eastAsia="zh-CN"/>
        </w:rPr>
        <w:t>拖拉机、联合收割机牌证齐全并办理注销登记的优先办理。</w:t>
      </w:r>
    </w:p>
    <w:p>
      <w:pPr>
        <w:ind w:firstLine="482" w:firstLineChars="15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b/>
          <w:sz w:val="32"/>
          <w:szCs w:val="32"/>
        </w:rPr>
        <w:t>、回收企业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名称：漯河市路通达农业机械维修有限公司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地址：河南省漯河市召陵区青年镇派出所西500米路南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统一社会信用代码：91411104MA9FXNK07G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电话：13939554539  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政策咨询电话：0395-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5759028</w:t>
      </w:r>
      <w:r>
        <w:rPr>
          <w:rFonts w:hint="eastAsia" w:ascii="宋体" w:hAnsi="宋体" w:eastAsia="宋体" w:cs="宋体"/>
          <w:sz w:val="32"/>
          <w:szCs w:val="32"/>
        </w:rPr>
        <w:t xml:space="preserve">  </w:t>
      </w:r>
    </w:p>
    <w:p>
      <w:pPr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报废更新补贴</w:t>
      </w:r>
      <w:r>
        <w:rPr>
          <w:rFonts w:hint="eastAsia" w:ascii="宋体" w:hAnsi="宋体" w:eastAsia="宋体" w:cs="宋体"/>
          <w:sz w:val="32"/>
          <w:szCs w:val="32"/>
        </w:rPr>
        <w:t>监督电话：0395-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5759029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5120" w:firstLineChars="16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3840" w:firstLineChars="1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源汇区</w:t>
      </w:r>
      <w:r>
        <w:rPr>
          <w:rFonts w:hint="eastAsia" w:ascii="仿宋" w:hAnsi="仿宋" w:eastAsia="仿宋" w:cs="仿宋"/>
          <w:sz w:val="32"/>
          <w:szCs w:val="32"/>
        </w:rPr>
        <w:t>农机推广服务中心</w:t>
      </w:r>
    </w:p>
    <w:p>
      <w:pPr>
        <w:ind w:firstLine="4480" w:firstLineChars="14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keepNext/>
        <w:keepLines/>
        <w:outlineLvl w:val="1"/>
        <w:rPr>
          <w:rFonts w:ascii="方正大标宋简体" w:hAnsi="方正大标宋简体" w:eastAsia="方正大标宋简体" w:cs="方正大标宋简体"/>
          <w:color w:val="000000"/>
          <w:sz w:val="28"/>
          <w:szCs w:val="28"/>
          <w:lang w:val="zh-TW" w:bidi="zh-TW"/>
        </w:rPr>
      </w:pPr>
      <w:bookmarkStart w:id="0" w:name="bookmark56"/>
      <w:bookmarkStart w:id="1" w:name="bookmark57"/>
      <w:bookmarkStart w:id="2" w:name="bookmark58"/>
      <w:r>
        <w:rPr>
          <w:rFonts w:hint="eastAsia" w:ascii="方正大标宋简体" w:hAnsi="方正大标宋简体" w:eastAsia="方正大标宋简体" w:cs="方正大标宋简体"/>
          <w:color w:val="000000"/>
          <w:sz w:val="28"/>
          <w:szCs w:val="28"/>
          <w:lang w:val="zh-TW" w:eastAsia="zh-TW" w:bidi="zh-TW"/>
        </w:rPr>
        <w:t>附件</w:t>
      </w:r>
      <w:r>
        <w:rPr>
          <w:rFonts w:hint="eastAsia" w:ascii="方正大标宋简体" w:hAnsi="方正大标宋简体" w:eastAsia="方正大标宋简体" w:cs="方正大标宋简体"/>
          <w:color w:val="000000"/>
          <w:sz w:val="28"/>
          <w:szCs w:val="28"/>
          <w:lang w:val="zh-TW" w:bidi="zh-TW"/>
        </w:rPr>
        <w:t>1</w:t>
      </w:r>
    </w:p>
    <w:p>
      <w:pPr>
        <w:keepNext/>
        <w:keepLines/>
        <w:jc w:val="center"/>
        <w:outlineLvl w:val="1"/>
        <w:rPr>
          <w:rFonts w:hint="eastAsia" w:ascii="方正大标宋简体" w:hAnsi="方正大标宋简体" w:eastAsia="方正大标宋简体" w:cs="方正大标宋简体"/>
          <w:b/>
          <w:bCs/>
          <w:color w:val="000000"/>
          <w:sz w:val="36"/>
          <w:szCs w:val="36"/>
          <w:lang w:val="zh-TW" w:bidi="zh-TW"/>
        </w:rPr>
      </w:pPr>
      <w:r>
        <w:rPr>
          <w:rFonts w:hint="eastAsia" w:ascii="方正大标宋简体" w:hAnsi="方正大标宋简体" w:eastAsia="方正大标宋简体" w:cs="方正大标宋简体"/>
          <w:b/>
          <w:bCs/>
          <w:color w:val="000000"/>
          <w:sz w:val="36"/>
          <w:szCs w:val="36"/>
          <w:lang w:val="zh-TW" w:eastAsia="zh-TW" w:bidi="zh-TW"/>
        </w:rPr>
        <w:t>农机报废更新补贴额一览表</w:t>
      </w:r>
      <w:bookmarkEnd w:id="0"/>
      <w:bookmarkEnd w:id="1"/>
      <w:bookmarkEnd w:id="2"/>
    </w:p>
    <w:tbl>
      <w:tblPr>
        <w:tblStyle w:val="3"/>
        <w:tblW w:w="88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17"/>
        <w:gridCol w:w="889"/>
        <w:gridCol w:w="3053"/>
        <w:gridCol w:w="2904"/>
        <w:gridCol w:w="12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4" w:hRule="exact"/>
          <w:jc w:val="center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ind w:firstLine="140"/>
              <w:jc w:val="left"/>
              <w:rPr>
                <w:rFonts w:ascii="宋体" w:hAnsi="宋体" w:cs="宋体"/>
                <w:sz w:val="24"/>
                <w:szCs w:val="24"/>
                <w:lang w:val="zh-TW" w:bidi="zh-TW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zh-TW" w:bidi="zh-TW"/>
              </w:rPr>
              <w:t>序号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  <w:lang w:val="zh-TW" w:eastAsia="zh-TW" w:bidi="zh-TW"/>
              </w:rPr>
              <w:t>品目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  <w:lang w:val="zh-TW" w:eastAsia="zh-TW" w:bidi="zh-TW"/>
              </w:rPr>
              <w:t>机型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ind w:firstLine="720"/>
              <w:jc w:val="left"/>
              <w:rPr>
                <w:rFonts w:ascii="宋体" w:hAnsi="宋体" w:cs="宋体"/>
                <w:sz w:val="24"/>
                <w:szCs w:val="24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  <w:lang w:val="zh-TW" w:eastAsia="zh-TW" w:bidi="zh-TW"/>
              </w:rPr>
              <w:t>基本配置和参数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spacing w:after="60"/>
              <w:jc w:val="center"/>
              <w:rPr>
                <w:rFonts w:ascii="宋体" w:hAnsi="宋体" w:cs="宋体"/>
                <w:sz w:val="24"/>
                <w:szCs w:val="24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  <w:lang w:val="zh-TW" w:eastAsia="zh-TW" w:bidi="zh-TW"/>
              </w:rPr>
              <w:t>报废补贴额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  <w:lang w:val="zh-TW" w:eastAsia="zh-TW" w:bidi="zh-TW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5" w:hRule="exact"/>
          <w:jc w:val="center"/>
        </w:trPr>
        <w:tc>
          <w:tcPr>
            <w:tcW w:w="71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1</w:t>
            </w:r>
          </w:p>
        </w:tc>
        <w:tc>
          <w:tcPr>
            <w:tcW w:w="88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拖拉机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20马力及以下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≤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20马力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2" w:hRule="exact"/>
          <w:jc w:val="center"/>
        </w:trPr>
        <w:tc>
          <w:tcPr>
            <w:tcW w:w="717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9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eastAsia="en-US" w:bidi="en-US"/>
              </w:rPr>
              <w:t>20-50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马力（含）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20马力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val="zh-CN" w:bidi="zh-CN"/>
              </w:rPr>
              <w:t>〈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功率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≤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50马力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3500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5" w:hRule="exact"/>
          <w:jc w:val="center"/>
        </w:trPr>
        <w:tc>
          <w:tcPr>
            <w:tcW w:w="717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9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eastAsia="en-US" w:bidi="en-US"/>
              </w:rPr>
              <w:t>50-80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马力（含）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50马力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val="zh-CN" w:bidi="zh-CN"/>
              </w:rPr>
              <w:t>〈功率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≤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80马力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5" w:hRule="exact"/>
          <w:jc w:val="center"/>
        </w:trPr>
        <w:tc>
          <w:tcPr>
            <w:tcW w:w="717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9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eastAsia="en-US" w:bidi="en-US"/>
              </w:rPr>
              <w:t>80-10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0马力（含）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80马力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val="zh-CN" w:bidi="zh-CN"/>
              </w:rPr>
              <w:t>〈功率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≤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100马力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2" w:hRule="exact"/>
          <w:jc w:val="center"/>
        </w:trPr>
        <w:tc>
          <w:tcPr>
            <w:tcW w:w="717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9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100马力以上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＞100马力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1" w:hRule="exact"/>
          <w:jc w:val="center"/>
        </w:trPr>
        <w:tc>
          <w:tcPr>
            <w:tcW w:w="71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2</w:t>
            </w:r>
          </w:p>
        </w:tc>
        <w:tc>
          <w:tcPr>
            <w:tcW w:w="88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1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联合</w:t>
            </w:r>
          </w:p>
          <w:p>
            <w:pPr>
              <w:spacing w:line="310" w:lineRule="exact"/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收割机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4" w:lineRule="exact"/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自走式全喂入稻麦联合收割机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eastAsia="en-US" w:bidi="en-US"/>
              </w:rPr>
              <w:t>0.5kg/s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＜喂入量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≤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eastAsia="en-US" w:bidi="en-US"/>
              </w:rPr>
              <w:t>lkg/s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1" w:hRule="exact"/>
          <w:jc w:val="center"/>
        </w:trPr>
        <w:tc>
          <w:tcPr>
            <w:tcW w:w="717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9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17" w:lineRule="exact"/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自走式全喂入稻麦联合收割机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eastAsia="en-US" w:bidi="en-US"/>
              </w:rPr>
              <w:t xml:space="preserve">1kg/s 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＜喂入量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≤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eastAsia="en-US" w:bidi="en-US"/>
              </w:rPr>
              <w:t>3kg/s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ind w:firstLine="360"/>
              <w:jc w:val="left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9" w:hRule="exact"/>
          <w:jc w:val="center"/>
        </w:trPr>
        <w:tc>
          <w:tcPr>
            <w:tcW w:w="717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9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4" w:lineRule="exact"/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自走式全喂入稻麦联合收割机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eastAsia="en-US" w:bidi="en-US"/>
              </w:rPr>
              <w:t xml:space="preserve">3kg/s 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＜喂入量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≤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eastAsia="en-US" w:bidi="en-US"/>
              </w:rPr>
              <w:t>4kg/s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ind w:firstLine="360"/>
              <w:jc w:val="left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7300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1" w:hRule="exact"/>
          <w:jc w:val="center"/>
        </w:trPr>
        <w:tc>
          <w:tcPr>
            <w:tcW w:w="717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9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17" w:lineRule="exact"/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自走式全喂入稻麦联合收割机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喂入量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eastAsia="en-US" w:bidi="en-US"/>
              </w:rPr>
              <w:t>＞4kg/s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11000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9" w:hRule="exact"/>
          <w:jc w:val="center"/>
        </w:trPr>
        <w:tc>
          <w:tcPr>
            <w:tcW w:w="717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9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17" w:lineRule="exact"/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自走式半喂入稻麦联合收割机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38" w:lineRule="exact"/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收获行数：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bidi="en-US"/>
              </w:rPr>
              <w:t>3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行，功率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≥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bidi="en-US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en-US"/>
              </w:rPr>
              <w:t>35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马力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7200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9" w:hRule="exact"/>
          <w:jc w:val="center"/>
        </w:trPr>
        <w:tc>
          <w:tcPr>
            <w:tcW w:w="717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9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10" w:lineRule="exact"/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自走式半喂入稻麦联合收割机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46" w:lineRule="exact"/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收获行数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≥4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行，功率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≥35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马力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17500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1" w:hRule="exact"/>
          <w:jc w:val="center"/>
        </w:trPr>
        <w:tc>
          <w:tcPr>
            <w:tcW w:w="717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9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自走式玉米联合收割机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收获行数：2行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7200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1" w:hRule="exact"/>
          <w:jc w:val="center"/>
        </w:trPr>
        <w:tc>
          <w:tcPr>
            <w:tcW w:w="717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9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自走式玉米联合收割机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收获行数：3行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12500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1" w:hRule="exact"/>
          <w:jc w:val="center"/>
        </w:trPr>
        <w:tc>
          <w:tcPr>
            <w:tcW w:w="717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9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自走式玉米联合收割机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收获行数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≥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4行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1" w:hRule="exact"/>
          <w:jc w:val="center"/>
        </w:trPr>
        <w:tc>
          <w:tcPr>
            <w:tcW w:w="717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9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悬挂式玉米联合收割机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收获行数：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eastAsia="en-US" w:bidi="en-US"/>
              </w:rPr>
              <w:t>1 — 2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行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1" w:hRule="exact"/>
          <w:jc w:val="center"/>
        </w:trPr>
        <w:tc>
          <w:tcPr>
            <w:tcW w:w="717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9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悬挂式玉米联合收割机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收获行数：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eastAsia="en-US" w:bidi="en-US"/>
              </w:rPr>
              <w:t>3-4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行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5500</w:t>
            </w:r>
          </w:p>
        </w:tc>
      </w:tr>
    </w:tbl>
    <w:p>
      <w:pPr>
        <w:pStyle w:val="2"/>
        <w:rPr>
          <w:sz w:val="16"/>
          <w:szCs w:val="16"/>
        </w:rPr>
      </w:pPr>
    </w:p>
    <w:tbl>
      <w:tblPr>
        <w:tblStyle w:val="3"/>
        <w:tblW w:w="913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46"/>
        <w:gridCol w:w="842"/>
        <w:gridCol w:w="3125"/>
        <w:gridCol w:w="3118"/>
        <w:gridCol w:w="13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ind w:firstLine="160"/>
              <w:jc w:val="center"/>
              <w:rPr>
                <w:rFonts w:ascii="宋体" w:hAnsi="宋体" w:cs="宋体"/>
                <w:sz w:val="22"/>
                <w:szCs w:val="22"/>
                <w:lang w:val="zh-TW" w:bidi="zh-TW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zh-TW" w:bidi="zh-TW"/>
              </w:rPr>
              <w:t>序号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品目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机型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ind w:firstLine="720"/>
              <w:jc w:val="left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基本配置和参数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before="80" w:after="40"/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报废补贴额</w:t>
            </w:r>
          </w:p>
          <w:p>
            <w:pPr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exact"/>
          <w:jc w:val="center"/>
        </w:trPr>
        <w:tc>
          <w:tcPr>
            <w:tcW w:w="74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lang w:val="zh-TW" w:bidi="zh-TW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zh-TW" w:bidi="zh-TW"/>
              </w:rPr>
              <w:t>3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17" w:lineRule="exact"/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饲料 （草） 粉碎机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 xml:space="preserve">400 — 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eastAsia="en-US" w:bidi="en-US"/>
              </w:rPr>
              <w:t>550mm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饲料粉碎机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lang w:val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bidi="en-US"/>
              </w:rPr>
              <w:t>400mm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≤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转子直径＜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550mm</w:t>
            </w:r>
          </w:p>
          <w:p>
            <w:pPr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ind w:firstLine="380"/>
              <w:jc w:val="left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2" w:hRule="exact"/>
          <w:jc w:val="center"/>
        </w:trPr>
        <w:tc>
          <w:tcPr>
            <w:tcW w:w="746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2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bidi="en-US"/>
              </w:rPr>
              <w:t>550mm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及以上饲料粉碎机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转子直径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≥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eastAsia="en-US" w:bidi="en-US"/>
              </w:rPr>
              <w:t>550mm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ind w:firstLine="380"/>
              <w:jc w:val="left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86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lang w:val="zh-TW" w:bidi="zh-TW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zh-TW" w:bidi="zh-TW"/>
              </w:rPr>
              <w:t>4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24" w:lineRule="exact"/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玉米脱粒机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31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生产率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bidi="en-US"/>
              </w:rPr>
              <w:t>10t/h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及以上</w:t>
            </w:r>
          </w:p>
          <w:p>
            <w:pPr>
              <w:spacing w:line="331" w:lineRule="exact"/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玉米脱粒机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生产率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≥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eastAsia="en-US" w:bidi="en-US"/>
              </w:rPr>
              <w:t>10t/h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ind w:firstLine="380"/>
              <w:jc w:val="left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8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ind w:firstLine="220" w:firstLineChars="100"/>
              <w:rPr>
                <w:rFonts w:ascii="宋体" w:hAnsi="宋体" w:cs="宋体"/>
                <w:color w:val="000000"/>
                <w:sz w:val="22"/>
                <w:szCs w:val="22"/>
                <w:lang w:val="zh-TW" w:bidi="zh-TW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zh-TW" w:bidi="zh-TW"/>
              </w:rPr>
              <w:t>5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1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 xml:space="preserve">花生 </w:t>
            </w:r>
          </w:p>
          <w:p>
            <w:pPr>
              <w:spacing w:line="310" w:lineRule="exact"/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摘果机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38" w:lineRule="exact"/>
              <w:jc w:val="left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配套动力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bidi="en-US"/>
              </w:rPr>
              <w:t>7kW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及以上，花 生摘果机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lang w:val="zh-TW" w:bidi="zh-TW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花生摘果机，配套动力≥7kW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ind w:firstLine="380"/>
              <w:jc w:val="left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exact"/>
          <w:jc w:val="center"/>
        </w:trPr>
        <w:tc>
          <w:tcPr>
            <w:tcW w:w="74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lang w:val="zh-TW" w:bidi="zh-TW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zh-TW" w:bidi="zh-TW"/>
              </w:rPr>
              <w:t>6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铡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草</w:t>
            </w:r>
          </w:p>
          <w:p>
            <w:pPr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机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eastAsia="en-US" w:bidi="en-US"/>
              </w:rPr>
              <w:t>6—9t/h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铡草机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6t/h≤生产率＜9t/h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ind w:firstLine="380"/>
              <w:jc w:val="left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8" w:hRule="exact"/>
          <w:jc w:val="center"/>
        </w:trPr>
        <w:tc>
          <w:tcPr>
            <w:tcW w:w="746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2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eastAsia="en-US" w:bidi="en-US"/>
              </w:rPr>
              <w:t>9—15t/h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铡草机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9t/h≤生产率＜15t/h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ind w:firstLine="380"/>
              <w:jc w:val="left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8" w:hRule="exact"/>
          <w:jc w:val="center"/>
        </w:trPr>
        <w:tc>
          <w:tcPr>
            <w:tcW w:w="746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2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eastAsia="en-US" w:bidi="en-US"/>
              </w:rPr>
              <w:t>15 —20t/h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铡草机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15t/h≤生产率＜20t/h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ind w:firstLine="380"/>
              <w:jc w:val="left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tcW w:w="746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2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eastAsia="en-US" w:bidi="en-US"/>
              </w:rPr>
              <w:t>20t/h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及以上铡草机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生产率≥20t/h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ind w:firstLine="320"/>
              <w:jc w:val="left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2400</w:t>
            </w:r>
          </w:p>
        </w:tc>
      </w:tr>
    </w:tbl>
    <w:p>
      <w:pPr>
        <w:pStyle w:val="2"/>
        <w:rPr>
          <w:rFonts w:ascii="Times New Roman" w:hAnsi="Times New Roman"/>
          <w:sz w:val="22"/>
          <w:szCs w:val="22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5" w:h="16838"/>
          <w:pgMar w:top="1667" w:right="1310" w:bottom="1667" w:left="1310" w:header="1526" w:footer="3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60" w:charSpace="0"/>
        </w:sectPr>
      </w:pP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pict>
        <v:shape id="文本框 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PRNfsgBAACZAwAADgAAAGRycy9lMm9Eb2MueG1srVPNjtMwEL4j8Q6W&#10;79TZHtgq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T4rjFgZ9//jj/+nP+/Z1c&#10;Z3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T0TX7IAQAAmQMAAA4AAAAAAAAAAQAgAAAAHgEAAGRycy9lMm9Eb2Mu&#10;eG1sUEsFBgAAAAAGAAYAWQEAAFgFAAAAAA==&#10;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t>8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  <w:p>
    <w:pPr>
      <w:pStyle w:val="2"/>
      <w:rPr>
        <w:sz w:val="18"/>
      </w:rPr>
    </w:pPr>
  </w:p>
  <w:p>
    <w:pPr>
      <w:pStyle w:val="2"/>
      <w:rPr>
        <w:sz w:val="18"/>
      </w:rPr>
    </w:pPr>
  </w:p>
  <w:p>
    <w:pPr>
      <w:pStyle w:val="2"/>
      <w:rPr>
        <w:sz w:val="18"/>
      </w:rPr>
    </w:pPr>
  </w:p>
  <w:p>
    <w:pPr>
      <w:pStyle w:val="2"/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U1OTVlYTdkMGVlZTMzZjlkNjFjYmY5N2FmYWMyYzgifQ=="/>
  </w:docVars>
  <w:rsids>
    <w:rsidRoot w:val="00E60883"/>
    <w:rsid w:val="003D0A78"/>
    <w:rsid w:val="005B6071"/>
    <w:rsid w:val="008131D0"/>
    <w:rsid w:val="009A388B"/>
    <w:rsid w:val="00A744F8"/>
    <w:rsid w:val="00DC3AA3"/>
    <w:rsid w:val="00E60883"/>
    <w:rsid w:val="00E70E28"/>
    <w:rsid w:val="00F423F9"/>
    <w:rsid w:val="0CE87A63"/>
    <w:rsid w:val="0EE5705F"/>
    <w:rsid w:val="12466F8F"/>
    <w:rsid w:val="15852F08"/>
    <w:rsid w:val="1A254076"/>
    <w:rsid w:val="2579187B"/>
    <w:rsid w:val="269A7437"/>
    <w:rsid w:val="2A907927"/>
    <w:rsid w:val="2D053DA9"/>
    <w:rsid w:val="362A40C0"/>
    <w:rsid w:val="3C9552DC"/>
    <w:rsid w:val="3D8E1D31"/>
    <w:rsid w:val="3E52684D"/>
    <w:rsid w:val="3E7E7642"/>
    <w:rsid w:val="3F7D125E"/>
    <w:rsid w:val="474457BF"/>
    <w:rsid w:val="474B5377"/>
    <w:rsid w:val="47955018"/>
    <w:rsid w:val="479A3013"/>
    <w:rsid w:val="52BB0A0D"/>
    <w:rsid w:val="5A183E90"/>
    <w:rsid w:val="5AB624AA"/>
    <w:rsid w:val="5D4F388D"/>
    <w:rsid w:val="600948F3"/>
    <w:rsid w:val="61BF0E7E"/>
    <w:rsid w:val="62203800"/>
    <w:rsid w:val="65115270"/>
    <w:rsid w:val="68ED2143"/>
    <w:rsid w:val="6A7936B6"/>
    <w:rsid w:val="6A9242F2"/>
    <w:rsid w:val="6C9E5CD6"/>
    <w:rsid w:val="6F9E39C4"/>
    <w:rsid w:val="7C9B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1671</Words>
  <Characters>1933</Characters>
  <Lines>8</Lines>
  <Paragraphs>2</Paragraphs>
  <TotalTime>6</TotalTime>
  <ScaleCrop>false</ScaleCrop>
  <LinksUpToDate>false</LinksUpToDate>
  <CharactersWithSpaces>1982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2022-02-25T01:13:00Z</dcterms:created>
  <dc:creator>PC</dc:creator>
  <cp:lastModifiedBy>屈宸西</cp:lastModifiedBy>
  <cp:lastPrinted>2022-02-28T02:56:00Z</cp:lastPrinted>
  <dcterms:modified xsi:type="dcterms:W3CDTF">2023-09-27T03:04:57Z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E30E6A7447674B0BBC314B9377982A43</vt:lpwstr>
  </property>
</Properties>
</file>