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color w:val="000000"/>
          <w:sz w:val="48"/>
          <w:szCs w:val="48"/>
          <w:lang w:val="en-US" w:eastAsia="zh-CN"/>
        </w:rPr>
      </w:pPr>
    </w:p>
    <w:p>
      <w:pPr>
        <w:jc w:val="center"/>
        <w:rPr>
          <w:rFonts w:hint="eastAsia" w:ascii="宋体" w:hAnsi="宋体" w:eastAsia="宋体" w:cs="宋体"/>
          <w:b/>
          <w:bCs/>
          <w:color w:val="000000"/>
          <w:sz w:val="44"/>
          <w:szCs w:val="44"/>
          <w:lang w:val="en-US" w:eastAsia="zh-CN"/>
        </w:rPr>
      </w:pPr>
    </w:p>
    <w:p>
      <w:pPr>
        <w:jc w:val="center"/>
        <w:rPr>
          <w:rFonts w:hint="eastAsia" w:ascii="宋体" w:hAnsi="宋体" w:eastAsia="宋体" w:cs="宋体"/>
          <w:b/>
          <w:bCs/>
          <w:color w:val="000000"/>
          <w:sz w:val="44"/>
          <w:szCs w:val="44"/>
          <w:lang w:val="en-US" w:eastAsia="zh-CN"/>
        </w:rPr>
      </w:pPr>
    </w:p>
    <w:p>
      <w:pPr>
        <w:jc w:val="center"/>
        <w:rPr>
          <w:rFonts w:hint="eastAsia" w:ascii="宋体" w:hAnsi="宋体" w:eastAsia="宋体" w:cs="宋体"/>
          <w:b/>
          <w:bCs/>
          <w:color w:val="000000"/>
          <w:sz w:val="44"/>
          <w:szCs w:val="44"/>
          <w:lang w:val="en-US" w:eastAsia="zh-CN"/>
        </w:rPr>
      </w:pPr>
    </w:p>
    <w:p>
      <w:pPr>
        <w:jc w:val="center"/>
        <w:rPr>
          <w:rFonts w:hint="eastAsia" w:ascii="宋体" w:hAnsi="宋体" w:eastAsia="宋体" w:cs="宋体"/>
          <w:b/>
          <w:bCs/>
          <w:color w:val="000000"/>
          <w:sz w:val="44"/>
          <w:szCs w:val="44"/>
          <w:lang w:val="en-US" w:eastAsia="zh-CN"/>
        </w:rPr>
      </w:pPr>
    </w:p>
    <w:p>
      <w:pPr>
        <w:jc w:val="center"/>
        <w:rPr>
          <w:rFonts w:hint="eastAsia" w:ascii="宋体" w:hAnsi="宋体" w:eastAsia="宋体" w:cs="宋体"/>
          <w:b/>
          <w:bCs/>
          <w:color w:val="000000"/>
          <w:sz w:val="44"/>
          <w:szCs w:val="44"/>
          <w:lang w:val="en-US" w:eastAsia="zh-CN"/>
        </w:rPr>
      </w:pPr>
    </w:p>
    <w:p>
      <w:pPr>
        <w:jc w:val="center"/>
        <w:rPr>
          <w:rFonts w:hint="eastAsia" w:ascii="宋体" w:hAnsi="宋体" w:eastAsia="宋体" w:cs="宋体"/>
          <w:b/>
          <w:bCs/>
          <w:color w:val="000000"/>
          <w:sz w:val="44"/>
          <w:szCs w:val="44"/>
          <w:lang w:val="en-US" w:eastAsia="zh-CN"/>
        </w:rPr>
      </w:pPr>
    </w:p>
    <w:p>
      <w:pPr>
        <w:jc w:val="center"/>
        <w:rPr>
          <w:rFonts w:hint="eastAsia" w:ascii="宋体" w:hAnsi="宋体" w:eastAsia="宋体" w:cs="宋体"/>
          <w:b/>
          <w:bCs/>
          <w:color w:val="000000"/>
          <w:sz w:val="44"/>
          <w:szCs w:val="44"/>
          <w:lang w:val="en-US" w:eastAsia="zh-CN"/>
        </w:rPr>
      </w:pPr>
    </w:p>
    <w:p>
      <w:pPr>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lang w:val="en-US" w:eastAsia="zh-CN"/>
        </w:rPr>
        <w:t>原阳县</w:t>
      </w:r>
      <w:r>
        <w:rPr>
          <w:rFonts w:hint="eastAsia" w:ascii="宋体" w:hAnsi="宋体" w:eastAsia="宋体" w:cs="宋体"/>
          <w:b/>
          <w:bCs/>
          <w:color w:val="000000"/>
          <w:sz w:val="44"/>
          <w:szCs w:val="44"/>
        </w:rPr>
        <w:t>2024—2026年农机购置与应用补贴实施方案</w:t>
      </w:r>
    </w:p>
    <w:p>
      <w:pPr>
        <w:ind w:firstLine="640" w:firstLineChars="200"/>
        <w:rPr>
          <w:rFonts w:hint="eastAsia" w:ascii="仿宋" w:hAnsi="仿宋" w:eastAsia="仿宋" w:cs="仿宋"/>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为更好满足农民群众农业生产购机需求，提高农业生产机械化水平，根据《新乡市农业农村局 新乡市财政局关于印发〈新乡市2024—2026年农机购置与应用补贴实施方案〉的通知》（新农〔2024〕100号）要求，结合我</w:t>
      </w:r>
      <w:r>
        <w:rPr>
          <w:rFonts w:hint="eastAsia" w:ascii="仿宋" w:hAnsi="仿宋" w:eastAsia="仿宋" w:cs="仿宋"/>
          <w:b w:val="0"/>
          <w:bCs w:val="0"/>
          <w:color w:val="000000"/>
          <w:sz w:val="32"/>
          <w:szCs w:val="32"/>
          <w:lang w:val="en-US" w:eastAsia="zh-CN"/>
        </w:rPr>
        <w:t>县</w:t>
      </w:r>
      <w:r>
        <w:rPr>
          <w:rFonts w:hint="eastAsia" w:ascii="仿宋" w:hAnsi="仿宋" w:eastAsia="仿宋" w:cs="仿宋"/>
          <w:b w:val="0"/>
          <w:bCs w:val="0"/>
          <w:color w:val="000000"/>
          <w:sz w:val="32"/>
          <w:szCs w:val="32"/>
        </w:rPr>
        <w:t xml:space="preserve">实际，制定本方案。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一、</w:t>
      </w:r>
      <w:r>
        <w:rPr>
          <w:rFonts w:hint="eastAsia" w:ascii="仿宋" w:hAnsi="仿宋" w:eastAsia="仿宋" w:cs="仿宋"/>
          <w:b/>
          <w:bCs/>
          <w:color w:val="000000"/>
          <w:sz w:val="32"/>
          <w:szCs w:val="32"/>
        </w:rPr>
        <w:t xml:space="preserve">总体要求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以习近平新时代中国特色社会主义思想为指导，全面贯彻落实党的二十大和二十届二中、三中全会精神，深入贯彻落实习近平总书记关于“三农”工作的重要论述、视察河南重要讲话重要指示和党中央、国务院决策部署，贯彻总体国家安全观和高质量发展要求，坚持稳中求进工作总基调，锚定建设农业强</w:t>
      </w:r>
      <w:r>
        <w:rPr>
          <w:rFonts w:hint="eastAsia" w:ascii="仿宋" w:hAnsi="仿宋" w:eastAsia="仿宋" w:cs="仿宋"/>
          <w:b w:val="0"/>
          <w:bCs w:val="0"/>
          <w:color w:val="000000"/>
          <w:sz w:val="32"/>
          <w:szCs w:val="32"/>
          <w:lang w:val="en-US" w:eastAsia="zh-CN"/>
        </w:rPr>
        <w:t>县</w:t>
      </w:r>
      <w:r>
        <w:rPr>
          <w:rFonts w:hint="eastAsia" w:ascii="仿宋" w:hAnsi="仿宋" w:eastAsia="仿宋" w:cs="仿宋"/>
          <w:b w:val="0"/>
          <w:bCs w:val="0"/>
          <w:color w:val="000000"/>
          <w:sz w:val="32"/>
          <w:szCs w:val="32"/>
        </w:rPr>
        <w:t xml:space="preserve">目标，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推进农业机械化全程全面高质量发展，为确保守住国家粮食安全和不发生规模性返贫底线、加快农业农村现代化提供坚实支撑。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二、</w:t>
      </w:r>
      <w:r>
        <w:rPr>
          <w:rFonts w:hint="eastAsia" w:ascii="仿宋" w:hAnsi="仿宋" w:eastAsia="仿宋" w:cs="仿宋"/>
          <w:b/>
          <w:bCs/>
          <w:color w:val="000000"/>
          <w:sz w:val="32"/>
          <w:szCs w:val="32"/>
        </w:rPr>
        <w:t>实施重点</w:t>
      </w:r>
      <w:r>
        <w:rPr>
          <w:rFonts w:hint="eastAsia" w:ascii="仿宋" w:hAnsi="仿宋" w:eastAsia="仿宋" w:cs="仿宋"/>
          <w:b w:val="0"/>
          <w:bCs w:val="0"/>
          <w:color w:val="00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一</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在支持重点方面着力突出稳产保供</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rPr>
        <w:t xml:space="preserve">以保障粮食和重要农产品稳定安全供给为着力点，聚焦机播增产和机收减损，重点支持高性能播种机、大型智能高端联合收获机械等有助于粮油等主要作物大面积单产提升、农机装备补短板、农业其他领域发展急需，以及事关国家重大战略实施的农业机械(以下统称“重点机具”)的推广应用。 </w:t>
      </w:r>
      <w:r>
        <w:rPr>
          <w:rFonts w:hint="eastAsia" w:ascii="仿宋" w:hAnsi="仿宋" w:eastAsia="仿宋" w:cs="仿宋"/>
          <w:b w:val="0"/>
          <w:bCs w:val="0"/>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rPr>
        <w:t>（二）在风险防控方面着力提高监管水平</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rPr>
        <w:t>运用全国农机作业指挥调度平台及省</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 xml:space="preserve">市农机信息化平台，推进补贴机具唯一身份识别，发挥大数据信息优势，提升违规行为排查和监控能力。强化属地管理责任和多部门联动，完善县级监管机制，全流程加强补贴机具研产推用各环节监督管理。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（三）</w:t>
      </w:r>
      <w:r>
        <w:rPr>
          <w:rFonts w:hint="eastAsia" w:ascii="仿宋" w:hAnsi="仿宋" w:eastAsia="仿宋" w:cs="仿宋"/>
          <w:b/>
          <w:bCs/>
          <w:color w:val="000000"/>
          <w:sz w:val="32"/>
          <w:szCs w:val="32"/>
        </w:rPr>
        <w:t>在补贴兑付方面着力提升服务效能</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rPr>
        <w:t>强化资金兑付工作，增加结算批次，鼓励推进补贴全流程线上办理，提高补贴办理便利性，确保及时兑付。加强补贴资金管理，落实专款专用要求，加大对超期不兑付、兑付慢问题治理力度，健全完善补贴资金管理长效机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三、</w:t>
      </w:r>
      <w:r>
        <w:rPr>
          <w:rFonts w:hint="eastAsia" w:ascii="仿宋" w:hAnsi="仿宋" w:eastAsia="仿宋" w:cs="仿宋"/>
          <w:b/>
          <w:bCs/>
          <w:color w:val="000000"/>
          <w:sz w:val="32"/>
          <w:szCs w:val="32"/>
        </w:rPr>
        <w:t xml:space="preserve">补贴对象和补贴标准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auto"/>
          <w:sz w:val="32"/>
          <w:szCs w:val="32"/>
        </w:rPr>
        <w:t>补贴对象为从事农业生产的农民和农业生产经营组织(以下简称“购机者”)，</w:t>
      </w:r>
      <w:r>
        <w:rPr>
          <w:rFonts w:hint="eastAsia" w:ascii="仿宋" w:hAnsi="仿宋" w:eastAsia="仿宋" w:cs="仿宋"/>
          <w:b w:val="0"/>
          <w:bCs w:val="0"/>
          <w:color w:val="000000"/>
          <w:sz w:val="32"/>
          <w:szCs w:val="32"/>
        </w:rPr>
        <w:t>其中农业生产经营组织包括农村集体经济组织、农民专业合作经济组织、农业企业和其他从事农业生产经营的组织。农机购置与应用补贴政策继续覆盖全</w:t>
      </w:r>
      <w:r>
        <w:rPr>
          <w:rFonts w:hint="eastAsia" w:ascii="仿宋" w:hAnsi="仿宋" w:eastAsia="仿宋" w:cs="仿宋"/>
          <w:b w:val="0"/>
          <w:bCs w:val="0"/>
          <w:color w:val="000000"/>
          <w:sz w:val="32"/>
          <w:szCs w:val="32"/>
          <w:lang w:val="en-US" w:eastAsia="zh-CN"/>
        </w:rPr>
        <w:t>县</w:t>
      </w:r>
      <w:r>
        <w:rPr>
          <w:rFonts w:hint="eastAsia" w:ascii="仿宋" w:hAnsi="仿宋" w:eastAsia="仿宋" w:cs="仿宋"/>
          <w:b w:val="0"/>
          <w:bCs w:val="0"/>
          <w:color w:val="000000"/>
          <w:sz w:val="32"/>
          <w:szCs w:val="32"/>
        </w:rPr>
        <w:t>所有乡镇</w:t>
      </w:r>
      <w:r>
        <w:rPr>
          <w:rFonts w:hint="eastAsia" w:ascii="仿宋" w:hAnsi="仿宋" w:eastAsia="仿宋" w:cs="仿宋"/>
          <w:b w:val="0"/>
          <w:bCs w:val="0"/>
          <w:color w:val="000000"/>
          <w:sz w:val="32"/>
          <w:szCs w:val="32"/>
          <w:lang w:val="en-US" w:eastAsia="zh-CN"/>
        </w:rPr>
        <w:t>、街道</w:t>
      </w:r>
      <w:r>
        <w:rPr>
          <w:rFonts w:hint="eastAsia" w:ascii="仿宋" w:hAnsi="仿宋" w:eastAsia="仿宋" w:cs="仿宋"/>
          <w:b w:val="0"/>
          <w:bCs w:val="0"/>
          <w:color w:val="000000"/>
          <w:sz w:val="32"/>
          <w:szCs w:val="32"/>
        </w:rPr>
        <w:t>。农机购置与应用补贴实行定额补贴，即同一种类、同一档次农业机械在本</w:t>
      </w:r>
      <w:r>
        <w:rPr>
          <w:rFonts w:hint="eastAsia" w:ascii="仿宋" w:hAnsi="仿宋" w:eastAsia="仿宋" w:cs="仿宋"/>
          <w:b w:val="0"/>
          <w:bCs w:val="0"/>
          <w:color w:val="000000"/>
          <w:sz w:val="32"/>
          <w:szCs w:val="32"/>
          <w:lang w:val="en-US" w:eastAsia="zh-CN"/>
        </w:rPr>
        <w:t>县</w:t>
      </w:r>
      <w:r>
        <w:rPr>
          <w:rFonts w:hint="eastAsia" w:ascii="仿宋" w:hAnsi="仿宋" w:eastAsia="仿宋" w:cs="仿宋"/>
          <w:b w:val="0"/>
          <w:bCs w:val="0"/>
          <w:color w:val="000000"/>
          <w:sz w:val="32"/>
          <w:szCs w:val="32"/>
        </w:rPr>
        <w:t>实行统一的补贴标准，具体补贴标准按《河南省2024-2026年农机购置与应用补贴机具补贴额一览表》执行。在政策实施过程中发现具体产品或档次的实际补贴比例超过测算比例15个百分点以上的，</w:t>
      </w:r>
      <w:r>
        <w:rPr>
          <w:rFonts w:hint="eastAsia" w:ascii="仿宋" w:hAnsi="仿宋" w:eastAsia="仿宋" w:cs="仿宋"/>
          <w:b w:val="0"/>
          <w:bCs w:val="0"/>
          <w:color w:val="000000"/>
          <w:sz w:val="32"/>
          <w:szCs w:val="32"/>
          <w:lang w:val="en-US" w:eastAsia="zh-CN"/>
        </w:rPr>
        <w:t>县农业农村局</w:t>
      </w:r>
      <w:r>
        <w:rPr>
          <w:rFonts w:hint="eastAsia" w:ascii="仿宋" w:hAnsi="仿宋" w:eastAsia="仿宋" w:cs="仿宋"/>
          <w:b w:val="0"/>
          <w:bCs w:val="0"/>
          <w:color w:val="000000"/>
          <w:sz w:val="32"/>
          <w:szCs w:val="32"/>
        </w:rPr>
        <w:t>会同财政局结合实际情况及时组织调查，并将调查情况及时报送新乡市农业机械技术中心、财政局。对有违规情节的，按相关规定处理；对无违规情节的补贴申请，可按原规定兑付补贴资金。发现同档次同品质的大多数产品价格总体下降幅度较大的、劣质产品以低价扰乱市场秩序的，综合研判后</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及时上报。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color w:val="000000"/>
          <w:sz w:val="32"/>
          <w:szCs w:val="32"/>
        </w:rPr>
        <w:t>四、补贴范围和补贴机具</w:t>
      </w:r>
      <w:r>
        <w:rPr>
          <w:rFonts w:hint="eastAsia" w:ascii="仿宋" w:hAnsi="仿宋" w:eastAsia="仿宋" w:cs="仿宋"/>
          <w:b w:val="0"/>
          <w:bCs w:val="0"/>
          <w:color w:val="00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1" w:firstLineChars="100"/>
        <w:textAlignment w:val="auto"/>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（一）</w:t>
      </w:r>
      <w:r>
        <w:rPr>
          <w:rFonts w:hint="eastAsia" w:ascii="仿宋" w:hAnsi="仿宋" w:eastAsia="仿宋" w:cs="仿宋"/>
          <w:b/>
          <w:bCs/>
          <w:color w:val="000000"/>
          <w:sz w:val="32"/>
          <w:szCs w:val="32"/>
        </w:rPr>
        <w:t>补贴范围</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rPr>
        <w:t>结合农业生产实际，将全省补贴范围内的22大类4</w:t>
      </w:r>
      <w:r>
        <w:rPr>
          <w:rFonts w:hint="eastAsia" w:ascii="仿宋" w:hAnsi="仿宋" w:eastAsia="仿宋" w:cs="仿宋"/>
          <w:b w:val="0"/>
          <w:bCs w:val="0"/>
          <w:color w:val="000000"/>
          <w:sz w:val="32"/>
          <w:szCs w:val="32"/>
          <w:lang w:val="en-US" w:eastAsia="zh-CN"/>
        </w:rPr>
        <w:t>8</w:t>
      </w:r>
      <w:r>
        <w:rPr>
          <w:rFonts w:hint="eastAsia" w:ascii="仿宋" w:hAnsi="仿宋" w:eastAsia="仿宋" w:cs="仿宋"/>
          <w:b w:val="0"/>
          <w:bCs w:val="0"/>
          <w:color w:val="000000"/>
          <w:sz w:val="32"/>
          <w:szCs w:val="32"/>
        </w:rPr>
        <w:t>个小类 1</w:t>
      </w:r>
      <w:r>
        <w:rPr>
          <w:rFonts w:hint="eastAsia" w:ascii="仿宋" w:hAnsi="仿宋" w:eastAsia="仿宋" w:cs="仿宋"/>
          <w:b w:val="0"/>
          <w:bCs w:val="0"/>
          <w:color w:val="000000"/>
          <w:sz w:val="32"/>
          <w:szCs w:val="32"/>
          <w:lang w:val="en-US" w:eastAsia="zh-CN"/>
        </w:rPr>
        <w:t>38</w:t>
      </w:r>
      <w:r>
        <w:rPr>
          <w:rFonts w:hint="eastAsia" w:ascii="仿宋" w:hAnsi="仿宋" w:eastAsia="仿宋" w:cs="仿宋"/>
          <w:b w:val="0"/>
          <w:bCs w:val="0"/>
          <w:color w:val="000000"/>
          <w:sz w:val="32"/>
          <w:szCs w:val="32"/>
        </w:rPr>
        <w:t>个品目机具列入我</w:t>
      </w:r>
      <w:r>
        <w:rPr>
          <w:rFonts w:hint="eastAsia" w:ascii="仿宋" w:hAnsi="仿宋" w:eastAsia="仿宋" w:cs="仿宋"/>
          <w:b w:val="0"/>
          <w:bCs w:val="0"/>
          <w:color w:val="000000"/>
          <w:sz w:val="32"/>
          <w:szCs w:val="32"/>
          <w:lang w:val="en-US" w:eastAsia="zh-CN"/>
        </w:rPr>
        <w:t>县</w:t>
      </w:r>
      <w:r>
        <w:rPr>
          <w:rFonts w:hint="eastAsia" w:ascii="仿宋" w:hAnsi="仿宋" w:eastAsia="仿宋" w:cs="仿宋"/>
          <w:b w:val="0"/>
          <w:bCs w:val="0"/>
          <w:color w:val="000000"/>
          <w:sz w:val="32"/>
          <w:szCs w:val="32"/>
        </w:rPr>
        <w:t>补贴范围（详见附件1）。我</w:t>
      </w:r>
      <w:r>
        <w:rPr>
          <w:rFonts w:hint="eastAsia" w:ascii="仿宋" w:hAnsi="仿宋" w:eastAsia="仿宋" w:cs="仿宋"/>
          <w:b w:val="0"/>
          <w:bCs w:val="0"/>
          <w:color w:val="000000"/>
          <w:sz w:val="32"/>
          <w:szCs w:val="32"/>
          <w:lang w:val="en-US" w:eastAsia="zh-CN"/>
        </w:rPr>
        <w:t>县</w:t>
      </w:r>
      <w:r>
        <w:rPr>
          <w:rFonts w:hint="eastAsia" w:ascii="仿宋" w:hAnsi="仿宋" w:eastAsia="仿宋" w:cs="仿宋"/>
          <w:b w:val="0"/>
          <w:bCs w:val="0"/>
          <w:color w:val="000000"/>
          <w:sz w:val="32"/>
          <w:szCs w:val="32"/>
        </w:rPr>
        <w:t xml:space="preserve">根据农业生产需要以及资金供需实际，从全省补贴范围中选取确定本地补贴机具品目，优先保障粮油等主要作物大面积单产提升等重点机具的推广应用。本地不适用、应用量很少甚至没有的品目不纳入补贴范围。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1" w:firstLineChars="100"/>
        <w:textAlignment w:val="auto"/>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rPr>
        <w:t>（二）常规机具</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rPr>
        <w:t>必须是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根据上级《农用无人驾驶航空器购置补贴实施方案》，制定我</w:t>
      </w:r>
      <w:r>
        <w:rPr>
          <w:rFonts w:hint="eastAsia" w:ascii="仿宋" w:hAnsi="仿宋" w:eastAsia="仿宋" w:cs="仿宋"/>
          <w:b w:val="0"/>
          <w:bCs w:val="0"/>
          <w:color w:val="000000"/>
          <w:sz w:val="32"/>
          <w:szCs w:val="32"/>
          <w:lang w:val="en-US" w:eastAsia="zh-CN"/>
        </w:rPr>
        <w:t>县</w:t>
      </w:r>
      <w:r>
        <w:rPr>
          <w:rFonts w:hint="eastAsia" w:ascii="仿宋" w:hAnsi="仿宋" w:eastAsia="仿宋" w:cs="仿宋"/>
          <w:b w:val="0"/>
          <w:bCs w:val="0"/>
          <w:color w:val="000000"/>
          <w:sz w:val="32"/>
          <w:szCs w:val="32"/>
        </w:rPr>
        <w:t>实施方案，另行发布。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五、</w:t>
      </w:r>
      <w:r>
        <w:rPr>
          <w:rFonts w:hint="eastAsia" w:ascii="仿宋" w:hAnsi="仿宋" w:eastAsia="仿宋" w:cs="仿宋"/>
          <w:b/>
          <w:bCs/>
          <w:color w:val="000000"/>
          <w:sz w:val="32"/>
          <w:szCs w:val="32"/>
        </w:rPr>
        <w:t xml:space="preserve">资金使用和管理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农机购置与应用补贴主要用于支持购置使用先进适用的农业机械，以及开展有关试点和农机报废更新等。要优先用于以往年度已录入但尚未兑付及当年已购机的补贴申请，并通过办理服务系统予以体现。农机购置与应用补贴资金必须足额保障，不得挤占、截留、挪用或用于其他支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六、</w:t>
      </w:r>
      <w:r>
        <w:rPr>
          <w:rFonts w:hint="eastAsia" w:ascii="仿宋" w:hAnsi="仿宋" w:eastAsia="仿宋" w:cs="仿宋"/>
          <w:b/>
          <w:bCs/>
          <w:color w:val="000000"/>
          <w:sz w:val="32"/>
          <w:szCs w:val="32"/>
        </w:rPr>
        <w:t>操作实施流程</w:t>
      </w:r>
      <w:r>
        <w:rPr>
          <w:rFonts w:hint="eastAsia" w:ascii="仿宋" w:hAnsi="仿宋" w:eastAsia="仿宋" w:cs="仿宋"/>
          <w:b w:val="0"/>
          <w:bCs w:val="0"/>
          <w:color w:val="00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农机购置与应用补贴政策实行“自主购机、定额补贴、先购后补，县级结算、直补到卡（户）”。购机行为完成后，购机者自主向</w:t>
      </w:r>
      <w:r>
        <w:rPr>
          <w:rFonts w:hint="eastAsia" w:ascii="仿宋" w:hAnsi="仿宋" w:eastAsia="仿宋" w:cs="仿宋"/>
          <w:b w:val="0"/>
          <w:bCs w:val="0"/>
          <w:color w:val="000000"/>
          <w:sz w:val="32"/>
          <w:szCs w:val="32"/>
          <w:lang w:val="en-US" w:eastAsia="zh-CN"/>
        </w:rPr>
        <w:t>县农业农村部门</w:t>
      </w:r>
      <w:r>
        <w:rPr>
          <w:rFonts w:hint="eastAsia" w:ascii="仿宋" w:hAnsi="仿宋" w:eastAsia="仿宋" w:cs="仿宋"/>
          <w:b w:val="0"/>
          <w:bCs w:val="0"/>
          <w:color w:val="000000"/>
          <w:sz w:val="32"/>
          <w:szCs w:val="32"/>
        </w:rPr>
        <w:t>提出补贴资金申领事项，签署告知承诺书，承诺购买行为、发票购机价格等信息真实有效，按相关规定申办补贴。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rPr>
        <w:t>（一）发布实施规定</w:t>
      </w:r>
      <w:r>
        <w:rPr>
          <w:rFonts w:hint="eastAsia" w:ascii="仿宋" w:hAnsi="仿宋" w:eastAsia="仿宋" w:cs="仿宋"/>
          <w:b/>
          <w:bCs/>
          <w:color w:val="000000"/>
          <w:sz w:val="32"/>
          <w:szCs w:val="32"/>
          <w:lang w:val="en-US" w:eastAsia="zh-CN"/>
        </w:rPr>
        <w:t>。</w:t>
      </w:r>
      <w:r>
        <w:rPr>
          <w:rFonts w:hint="eastAsia" w:ascii="仿宋" w:hAnsi="仿宋" w:eastAsia="仿宋" w:cs="仿宋"/>
          <w:b w:val="0"/>
          <w:bCs w:val="0"/>
          <w:color w:val="000000"/>
          <w:sz w:val="32"/>
          <w:szCs w:val="32"/>
          <w:lang w:val="en-US" w:eastAsia="zh-CN"/>
        </w:rPr>
        <w:t>县农业农村局</w:t>
      </w:r>
      <w:r>
        <w:rPr>
          <w:rFonts w:hint="eastAsia" w:ascii="仿宋" w:hAnsi="仿宋" w:eastAsia="仿宋" w:cs="仿宋"/>
          <w:b w:val="0"/>
          <w:bCs w:val="0"/>
          <w:color w:val="000000"/>
          <w:sz w:val="32"/>
          <w:szCs w:val="32"/>
        </w:rPr>
        <w:t>、财政局按职责分工和有关规定发布我</w:t>
      </w:r>
      <w:r>
        <w:rPr>
          <w:rFonts w:hint="eastAsia" w:ascii="仿宋" w:hAnsi="仿宋" w:eastAsia="仿宋" w:cs="仿宋"/>
          <w:b w:val="0"/>
          <w:bCs w:val="0"/>
          <w:color w:val="000000"/>
          <w:sz w:val="32"/>
          <w:szCs w:val="32"/>
          <w:lang w:val="en-US" w:eastAsia="zh-CN"/>
        </w:rPr>
        <w:t>县</w:t>
      </w:r>
      <w:r>
        <w:rPr>
          <w:rFonts w:hint="eastAsia" w:ascii="仿宋" w:hAnsi="仿宋" w:eastAsia="仿宋" w:cs="仿宋"/>
          <w:b w:val="0"/>
          <w:bCs w:val="0"/>
          <w:color w:val="000000"/>
          <w:sz w:val="32"/>
          <w:szCs w:val="32"/>
        </w:rPr>
        <w:t>农机购置与应用补贴实施方案、操作程序</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补贴额一览表、补贴机具信息表、咨询投诉举报电话等信息。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rPr>
        <w:t>（二）自主购机</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rPr>
        <w:t xml:space="preserve">购机者自主选择购买机具，按市场化原则自行与农机产销企业协商确定购机价格与支付方式，购机价格在 5000 元以上的鼓励非现金方式支付购机款，并对交易行为真实性、有效性和可能发生的纠纷承担法律责任。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rPr>
        <w:t>（三）受理补贴申请</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lang w:val="en-US" w:eastAsia="zh-CN"/>
        </w:rPr>
        <w:t>县农业农村部门</w:t>
      </w:r>
      <w:r>
        <w:rPr>
          <w:rFonts w:hint="eastAsia" w:ascii="仿宋" w:hAnsi="仿宋" w:eastAsia="仿宋" w:cs="仿宋"/>
          <w:b w:val="0"/>
          <w:bCs w:val="0"/>
          <w:color w:val="000000"/>
          <w:sz w:val="32"/>
          <w:szCs w:val="32"/>
        </w:rPr>
        <w:t>在收到购机者完成签字确认的补贴申请后，应</w:t>
      </w:r>
      <w:r>
        <w:rPr>
          <w:rFonts w:hint="eastAsia" w:ascii="仿宋" w:hAnsi="仿宋" w:eastAsia="仿宋" w:cs="仿宋"/>
          <w:b w:val="0"/>
          <w:bCs w:val="0"/>
          <w:color w:val="000000"/>
          <w:sz w:val="32"/>
          <w:szCs w:val="32"/>
          <w:lang w:val="en-US" w:eastAsia="zh-CN"/>
        </w:rPr>
        <w:t>及时</w:t>
      </w:r>
      <w:r>
        <w:rPr>
          <w:rFonts w:hint="eastAsia" w:ascii="仿宋" w:hAnsi="仿宋" w:eastAsia="仿宋" w:cs="仿宋"/>
          <w:b w:val="0"/>
          <w:bCs w:val="0"/>
          <w:color w:val="000000"/>
          <w:sz w:val="32"/>
          <w:szCs w:val="32"/>
        </w:rPr>
        <w:t>作出是否受理的决定，对因资料不齐全等原因无法受理的，应注明原因，按原渠道退回申请，并告知购机者，做好咨询答疑。根据农机购置与应用补贴资金申请数量设置购机者年度内享受补贴资金总额的上限及其申请条件</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根据我县实际情况，暂定从事农业生产的农民一个年度内享受补贴资金总额不超20万元；农业生产经营组织一个年度内享受补贴资金总额不超50万元</w:t>
      </w:r>
      <w:r>
        <w:rPr>
          <w:rFonts w:hint="eastAsia" w:ascii="仿宋" w:hAnsi="仿宋" w:eastAsia="仿宋" w:cs="仿宋"/>
          <w:b w:val="0"/>
          <w:bCs w:val="0"/>
          <w:color w:val="000000"/>
          <w:sz w:val="32"/>
          <w:szCs w:val="32"/>
        </w:rPr>
        <w:t>。全面实行办理服务系统常年连续开放，推广使用信息化技术，方便购机者随时在线录入补贴申请信息。引导购机者在录入信息后，及时向</w:t>
      </w:r>
      <w:r>
        <w:rPr>
          <w:rFonts w:hint="eastAsia" w:ascii="仿宋" w:hAnsi="仿宋" w:eastAsia="仿宋" w:cs="仿宋"/>
          <w:b w:val="0"/>
          <w:bCs w:val="0"/>
          <w:color w:val="000000"/>
          <w:sz w:val="32"/>
          <w:szCs w:val="32"/>
          <w:lang w:val="en-US" w:eastAsia="zh-CN"/>
        </w:rPr>
        <w:t>县农业农村部门</w:t>
      </w:r>
      <w:r>
        <w:rPr>
          <w:rFonts w:hint="eastAsia" w:ascii="仿宋" w:hAnsi="仿宋" w:eastAsia="仿宋" w:cs="仿宋"/>
          <w:b w:val="0"/>
          <w:bCs w:val="0"/>
          <w:color w:val="000000"/>
          <w:sz w:val="32"/>
          <w:szCs w:val="32"/>
        </w:rPr>
        <w:t xml:space="preserve">提交补贴申请资料。当补贴资金申请数量达到或超过当年可用资金（含结转资金、调剂资金）时，购机者提交的补贴申请可继续录入进行预登记，但应及时告知购机者有关情况。 </w:t>
      </w:r>
      <w:r>
        <w:rPr>
          <w:rFonts w:hint="eastAsia" w:ascii="仿宋" w:hAnsi="仿宋" w:eastAsia="仿宋" w:cs="仿宋"/>
          <w:b w:val="0"/>
          <w:bCs w:val="0"/>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color w:val="C00000"/>
          <w:sz w:val="32"/>
          <w:szCs w:val="32"/>
        </w:rPr>
      </w:pPr>
      <w:r>
        <w:rPr>
          <w:rFonts w:hint="eastAsia" w:ascii="仿宋" w:hAnsi="仿宋" w:eastAsia="仿宋" w:cs="仿宋"/>
          <w:b/>
          <w:bCs/>
          <w:color w:val="000000"/>
          <w:sz w:val="32"/>
          <w:szCs w:val="32"/>
        </w:rPr>
        <w:t>（四）机具核验</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rPr>
        <w:t>探索多种核验方式，提高补贴机具核验水平。结合实际，探索打造农机管理干部、农机技术人员、第三方机构、有经验有意愿的农机使用一线“土专家”和农机手参加的核验队伍，切实强化核验工作人力资源保障。对高风险机具，应逐台核验；对安装类、设施类或安全风险较高类补贴机具，以及初次出现的高补贴额机具，在安装完成且生产应用一段时间后进行现场核验和补贴兑付；对其他机具，结合实际，确定抽查核验比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rPr>
        <w:t>（五）审验公示信息</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rPr>
        <w:t xml:space="preserve">按照《农机购置补贴机具核验工作要点（试行）》等要求，对补贴相关申请资料进行审核，对补贴机具进行核验，其中实行牌证管理的机具，要先行办理牌证照，并凭牌证免于现场实物核验。对符合条件可以受理的，应于 13 个工作日内（不含公示时间）完成相关核验工作，并在省农机购置与应用补贴信息公开专栏实时公布补贴申请信息，公示时间为 5 个工作日。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rPr>
        <w:t>（六）兑付补贴资金</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rPr>
        <w:t>农机购置补贴资金按规定纳入“一卡通”系统集中发放，其中发放给个人、家庭的补贴资金纳入“一卡通”系统发放，发放给农业生产经营组织的补贴资金按规定通过国库集中支付方式向符合要求的购机者兑付。</w:t>
      </w:r>
      <w:r>
        <w:rPr>
          <w:rFonts w:hint="eastAsia" w:ascii="仿宋" w:hAnsi="仿宋" w:eastAsia="仿宋" w:cs="仿宋"/>
          <w:b w:val="0"/>
          <w:bCs w:val="0"/>
          <w:color w:val="000000"/>
          <w:sz w:val="32"/>
          <w:szCs w:val="32"/>
          <w:lang w:val="en-US" w:eastAsia="zh-CN"/>
        </w:rPr>
        <w:t>县农业农村部门</w:t>
      </w:r>
      <w:r>
        <w:rPr>
          <w:rFonts w:hint="eastAsia" w:ascii="仿宋" w:hAnsi="仿宋" w:eastAsia="仿宋" w:cs="仿宋"/>
          <w:b w:val="0"/>
          <w:bCs w:val="0"/>
          <w:color w:val="000000"/>
          <w:sz w:val="32"/>
          <w:szCs w:val="32"/>
        </w:rPr>
        <w:t>在公示完成</w:t>
      </w:r>
      <w:r>
        <w:rPr>
          <w:rFonts w:hint="eastAsia" w:ascii="仿宋" w:hAnsi="仿宋" w:eastAsia="仿宋" w:cs="仿宋"/>
          <w:b w:val="0"/>
          <w:bCs w:val="0"/>
          <w:color w:val="000000"/>
          <w:sz w:val="32"/>
          <w:szCs w:val="32"/>
          <w:lang w:val="en-US" w:eastAsia="zh-CN"/>
        </w:rPr>
        <w:t>及时分批</w:t>
      </w:r>
      <w:r>
        <w:rPr>
          <w:rFonts w:hint="eastAsia" w:ascii="仿宋" w:hAnsi="仿宋" w:eastAsia="仿宋" w:cs="仿宋"/>
          <w:b w:val="0"/>
          <w:bCs w:val="0"/>
          <w:color w:val="000000"/>
          <w:sz w:val="32"/>
          <w:szCs w:val="32"/>
        </w:rPr>
        <w:t>向</w:t>
      </w:r>
      <w:r>
        <w:rPr>
          <w:rFonts w:hint="eastAsia" w:ascii="仿宋" w:hAnsi="仿宋" w:eastAsia="仿宋" w:cs="仿宋"/>
          <w:b w:val="0"/>
          <w:bCs w:val="0"/>
          <w:color w:val="000000"/>
          <w:sz w:val="32"/>
          <w:szCs w:val="32"/>
          <w:lang w:val="en-US" w:eastAsia="zh-CN"/>
        </w:rPr>
        <w:t>县</w:t>
      </w:r>
      <w:r>
        <w:rPr>
          <w:rFonts w:hint="eastAsia" w:ascii="仿宋" w:hAnsi="仿宋" w:eastAsia="仿宋" w:cs="仿宋"/>
          <w:b w:val="0"/>
          <w:bCs w:val="0"/>
          <w:color w:val="000000"/>
          <w:sz w:val="32"/>
          <w:szCs w:val="32"/>
        </w:rPr>
        <w:t>财政局提交资金兑付申请与有关材料，财政局通过国库集中支付方式向符合要求的购机者兑付资金。补贴申领原则上当年有效，因当年财政补贴资金规模不够、办理手续时间紧张等原因确实难以完成兑付的，可在办理服务系统中进行预登记申请，在下一个年度优先予以兑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rPr>
        <w:t>（七）组织抽查</w:t>
      </w:r>
      <w:r>
        <w:rPr>
          <w:rFonts w:hint="eastAsia" w:ascii="仿宋" w:hAnsi="仿宋" w:eastAsia="仿宋" w:cs="仿宋"/>
          <w:b/>
          <w:bCs/>
          <w:color w:val="000000"/>
          <w:sz w:val="32"/>
          <w:szCs w:val="32"/>
          <w:lang w:val="en-US" w:eastAsia="zh-CN"/>
        </w:rPr>
        <w:t>。</w:t>
      </w:r>
      <w:r>
        <w:rPr>
          <w:rFonts w:hint="eastAsia" w:ascii="仿宋" w:hAnsi="仿宋" w:eastAsia="仿宋" w:cs="仿宋"/>
          <w:b w:val="0"/>
          <w:bCs w:val="0"/>
          <w:color w:val="000000"/>
          <w:sz w:val="32"/>
          <w:szCs w:val="32"/>
          <w:lang w:val="en-US" w:eastAsia="zh-CN"/>
        </w:rPr>
        <w:t>县农业农村部门</w:t>
      </w:r>
      <w:r>
        <w:rPr>
          <w:rFonts w:hint="eastAsia" w:ascii="仿宋" w:hAnsi="仿宋" w:eastAsia="仿宋" w:cs="仿宋"/>
          <w:b w:val="0"/>
          <w:bCs w:val="0"/>
          <w:color w:val="000000"/>
          <w:sz w:val="32"/>
          <w:szCs w:val="32"/>
        </w:rPr>
        <w:t>可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七、实施要求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rPr>
        <w:t>（一）加强领导，明确分工</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rPr>
        <w:t>农机购置与应用补贴事关广大购机者切身利益和农业农村发展大局，事关保障国家粮食安全和加快建设农业强</w:t>
      </w:r>
      <w:r>
        <w:rPr>
          <w:rFonts w:hint="eastAsia" w:ascii="仿宋" w:hAnsi="仿宋" w:eastAsia="仿宋" w:cs="仿宋"/>
          <w:b w:val="0"/>
          <w:bCs w:val="0"/>
          <w:color w:val="000000"/>
          <w:sz w:val="32"/>
          <w:szCs w:val="32"/>
          <w:lang w:val="en-US" w:eastAsia="zh-CN"/>
        </w:rPr>
        <w:t>县</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县农业农村局</w:t>
      </w:r>
      <w:r>
        <w:rPr>
          <w:rFonts w:hint="eastAsia" w:ascii="仿宋" w:hAnsi="仿宋" w:eastAsia="仿宋" w:cs="仿宋"/>
          <w:b w:val="0"/>
          <w:bCs w:val="0"/>
          <w:color w:val="000000"/>
          <w:sz w:val="32"/>
          <w:szCs w:val="32"/>
        </w:rPr>
        <w:t>、财政局要把补贴工作摆上重要议程，严格落实管理责任。要建立健全政府领导下的联合实施和监管机制，切实加强组织协调，密切沟通配合，健全完善风险防控制度和内部控制规程，形成工作合力。要进一步明确职责分工，深入落实</w:t>
      </w:r>
      <w:r>
        <w:rPr>
          <w:rFonts w:hint="eastAsia" w:ascii="仿宋" w:hAnsi="仿宋" w:eastAsia="仿宋" w:cs="仿宋"/>
          <w:b w:val="0"/>
          <w:bCs w:val="0"/>
          <w:color w:val="000000"/>
          <w:sz w:val="32"/>
          <w:szCs w:val="32"/>
          <w:lang w:val="en-US" w:eastAsia="zh-CN"/>
        </w:rPr>
        <w:t>县农业农村部门</w:t>
      </w:r>
      <w:r>
        <w:rPr>
          <w:rFonts w:hint="eastAsia" w:ascii="仿宋" w:hAnsi="仿宋" w:eastAsia="仿宋" w:cs="仿宋"/>
          <w:b w:val="0"/>
          <w:bCs w:val="0"/>
          <w:color w:val="000000"/>
          <w:sz w:val="32"/>
          <w:szCs w:val="32"/>
        </w:rPr>
        <w:t>组织实施、审核监管责任和</w:t>
      </w:r>
      <w:r>
        <w:rPr>
          <w:rFonts w:hint="eastAsia" w:ascii="仿宋" w:hAnsi="仿宋" w:eastAsia="仿宋" w:cs="仿宋"/>
          <w:b w:val="0"/>
          <w:bCs w:val="0"/>
          <w:color w:val="000000"/>
          <w:sz w:val="32"/>
          <w:szCs w:val="32"/>
          <w:lang w:val="en-US" w:eastAsia="zh-CN"/>
        </w:rPr>
        <w:t>县</w:t>
      </w:r>
      <w:r>
        <w:rPr>
          <w:rFonts w:hint="eastAsia" w:ascii="仿宋" w:hAnsi="仿宋" w:eastAsia="仿宋" w:cs="仿宋"/>
          <w:b w:val="0"/>
          <w:bCs w:val="0"/>
          <w:color w:val="000000"/>
          <w:sz w:val="32"/>
          <w:szCs w:val="32"/>
        </w:rPr>
        <w:t>财政局资金兑付、资金监管责任。加强绩效管</w:t>
      </w:r>
      <w:r>
        <w:rPr>
          <w:rFonts w:hint="eastAsia" w:ascii="仿宋" w:hAnsi="仿宋" w:eastAsia="仿宋" w:cs="仿宋"/>
          <w:b w:val="0"/>
          <w:bCs w:val="0"/>
          <w:color w:val="auto"/>
          <w:sz w:val="32"/>
          <w:szCs w:val="32"/>
        </w:rPr>
        <w:t>理，形成管理</w:t>
      </w:r>
      <w:r>
        <w:rPr>
          <w:rFonts w:hint="eastAsia" w:ascii="仿宋" w:hAnsi="仿宋" w:eastAsia="仿宋" w:cs="仿宋"/>
          <w:b w:val="0"/>
          <w:bCs w:val="0"/>
          <w:color w:val="000000"/>
          <w:sz w:val="32"/>
          <w:szCs w:val="32"/>
        </w:rPr>
        <w:t>闭环，切实提升政策实施管理工作能力水平。组织开展业务培训和廉政警示教育，提高补贴工作人员业务素质和风险防控能力意识。</w:t>
      </w:r>
    </w:p>
    <w:p>
      <w:pPr>
        <w:keepNext w:val="0"/>
        <w:keepLines w:val="0"/>
        <w:pageBreakBefore w:val="0"/>
        <w:widowControl w:val="0"/>
        <w:kinsoku/>
        <w:wordWrap/>
        <w:overflowPunct/>
        <w:topLinePunct w:val="0"/>
        <w:autoSpaceDE w:val="0"/>
        <w:autoSpaceDN w:val="0"/>
        <w:bidi w:val="0"/>
        <w:adjustRightInd/>
        <w:snapToGrid/>
        <w:spacing w:before="0" w:line="520" w:lineRule="exact"/>
        <w:ind w:right="0" w:firstLine="643" w:firstLineChars="200"/>
        <w:jc w:val="both"/>
        <w:textAlignment w:val="auto"/>
        <w:rPr>
          <w:rFonts w:hint="default" w:ascii="仿宋_GB2312" w:hAnsi="仿宋_GB2312" w:eastAsia="仿宋_GB2312" w:cs="仿宋_GB2312"/>
          <w:b w:val="0"/>
          <w:bCs w:val="0"/>
          <w:sz w:val="32"/>
          <w:szCs w:val="32"/>
          <w:lang w:val="en" w:eastAsia="zh-CN" w:bidi="ar-SA"/>
        </w:rPr>
      </w:pPr>
      <w:r>
        <w:rPr>
          <w:rFonts w:hint="eastAsia" w:ascii="仿宋" w:hAnsi="仿宋" w:eastAsia="仿宋" w:cs="仿宋"/>
          <w:b/>
          <w:bCs/>
          <w:color w:val="000000"/>
          <w:sz w:val="32"/>
          <w:szCs w:val="32"/>
        </w:rPr>
        <w:t>（二）优化服务，提升效能</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lang w:val="en-US" w:eastAsia="zh-CN"/>
        </w:rPr>
        <w:t>县农业农村部门</w:t>
      </w:r>
      <w:r>
        <w:rPr>
          <w:rFonts w:hint="eastAsia" w:ascii="仿宋_GB2312" w:hAnsi="仿宋_GB2312" w:eastAsia="仿宋_GB2312" w:cs="仿宋_GB2312"/>
          <w:b w:val="0"/>
          <w:bCs w:val="0"/>
          <w:sz w:val="32"/>
          <w:szCs w:val="32"/>
          <w:lang w:val="en-US" w:eastAsia="en-US" w:bidi="ar-SA"/>
        </w:rPr>
        <w:t>要依托农机购置与应用补贴申请办理服务系统</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动态分析办理补贴申请具体时限</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及时预警和定期通报超时办理行为</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切实加快补贴申请受理、资料审核、机具核验、资金兑付等工作</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要提高补贴机具核验信息化水平</w:t>
      </w:r>
      <w:r>
        <w:rPr>
          <w:rFonts w:hint="eastAsia"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en-US" w:bidi="ar-SA"/>
        </w:rPr>
        <w:t>牌证管理、补贴资金申领等环节信息系统的互联互通</w:t>
      </w:r>
      <w:r>
        <w:rPr>
          <w:rFonts w:hint="eastAsia" w:ascii="仿宋_GB2312" w:hAnsi="仿宋_GB2312" w:eastAsia="仿宋_GB2312" w:cs="仿宋_GB2312"/>
          <w:b w:val="0"/>
          <w:bCs w:val="0"/>
          <w:sz w:val="32"/>
          <w:szCs w:val="32"/>
          <w:lang w:val="en-US" w:eastAsia="zh-CN" w:bidi="ar-SA"/>
        </w:rPr>
        <w:t>，减少人工操作环节，让数据“多跑路”，让群众“少跑腿”</w:t>
      </w:r>
      <w:r>
        <w:rPr>
          <w:rFonts w:hint="default" w:ascii="仿宋_GB2312" w:hAnsi="仿宋_GB2312" w:eastAsia="仿宋_GB2312" w:cs="仿宋_GB2312"/>
          <w:b w:val="0"/>
          <w:bCs w:val="0"/>
          <w:sz w:val="32"/>
          <w:szCs w:val="32"/>
          <w:lang w:val="e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rPr>
        <w:t>（三）公开信息，接受监督</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lang w:val="en-US" w:eastAsia="zh-CN"/>
        </w:rPr>
        <w:t>县农业农村部门要</w:t>
      </w:r>
      <w:r>
        <w:rPr>
          <w:rFonts w:hint="eastAsia" w:ascii="仿宋" w:hAnsi="仿宋" w:eastAsia="仿宋" w:cs="仿宋"/>
          <w:b w:val="0"/>
          <w:bCs w:val="0"/>
          <w:color w:val="000000"/>
          <w:sz w:val="32"/>
          <w:szCs w:val="32"/>
        </w:rPr>
        <w:t>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rPr>
        <w:t>（四）加强监管，严惩违规</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lang w:val="en-US" w:eastAsia="zh-CN"/>
        </w:rPr>
        <w:t>要</w:t>
      </w:r>
      <w:r>
        <w:rPr>
          <w:rFonts w:hint="eastAsia" w:ascii="仿宋" w:hAnsi="仿宋" w:eastAsia="仿宋" w:cs="仿宋"/>
          <w:b w:val="0"/>
          <w:bCs w:val="0"/>
          <w:color w:val="000000"/>
          <w:sz w:val="32"/>
          <w:szCs w:val="32"/>
        </w:rPr>
        <w:t>认真执行《河南省农业农村厅 河南省财政厅关于进一步加强相关惠农补贴政策监管强化纪律约束的通知》（豫农财务〔2019〕 37 号）和《河南省农业机械购置补贴产品违规经营行为处理办法 （试行）》（豫农机文〔2020〕42 号）要求，严格落实属地管理责任，加强风险防控和异常情形主动报告，更加严格实施信用管理和农机产销企业承诺制。要充分发挥专业机构的技术优势和大数据的信息优势，有效开展违规行为全流程分析排查。探索</w:t>
      </w:r>
      <w:r>
        <w:rPr>
          <w:rFonts w:hint="eastAsia" w:ascii="仿宋" w:hAnsi="仿宋" w:eastAsia="仿宋" w:cs="仿宋"/>
          <w:b w:val="0"/>
          <w:bCs w:val="0"/>
          <w:color w:val="000000"/>
          <w:sz w:val="32"/>
          <w:szCs w:val="32"/>
          <w:lang w:val="en-US" w:eastAsia="zh-CN"/>
        </w:rPr>
        <w:t>农业农村部门</w:t>
      </w:r>
      <w:r>
        <w:rPr>
          <w:rFonts w:hint="eastAsia" w:ascii="仿宋" w:hAnsi="仿宋" w:eastAsia="仿宋" w:cs="仿宋"/>
          <w:b w:val="0"/>
          <w:bCs w:val="0"/>
          <w:color w:val="000000"/>
          <w:sz w:val="32"/>
          <w:szCs w:val="32"/>
        </w:rPr>
        <w:t>和财政</w:t>
      </w:r>
      <w:r>
        <w:rPr>
          <w:rFonts w:hint="eastAsia" w:ascii="仿宋" w:hAnsi="仿宋" w:eastAsia="仿宋" w:cs="仿宋"/>
          <w:b w:val="0"/>
          <w:bCs w:val="0"/>
          <w:color w:val="000000"/>
          <w:sz w:val="32"/>
          <w:szCs w:val="32"/>
          <w:lang w:val="en-US" w:eastAsia="zh-CN"/>
        </w:rPr>
        <w:t>部门</w:t>
      </w:r>
      <w:r>
        <w:rPr>
          <w:rFonts w:hint="eastAsia" w:ascii="仿宋" w:hAnsi="仿宋" w:eastAsia="仿宋" w:cs="仿宋"/>
          <w:b w:val="0"/>
          <w:bCs w:val="0"/>
          <w:color w:val="000000"/>
          <w:sz w:val="32"/>
          <w:szCs w:val="32"/>
        </w:rPr>
        <w:t>与纪检监察、审计、信访等部门建立联合监督机制，紧盯补贴实施关键环节，结合群众反映的突出问题，以及巡视、审计、信访等相关部门提供的问题线索，开展常态化监督检查。加强联合查处和市际联动处理，对违法违规行为保持“零容忍”高压态势，从严整治违法违规行为，涉嫌犯罪的，移交司法机关予以查处，有力维护政策实施良好秩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附件</w:t>
      </w:r>
      <w:r>
        <w:rPr>
          <w:rFonts w:hint="eastAsia" w:ascii="仿宋" w:hAnsi="仿宋" w:eastAsia="仿宋" w:cs="仿宋"/>
          <w:b w:val="0"/>
          <w:bCs w:val="0"/>
          <w:color w:val="000000"/>
          <w:sz w:val="32"/>
          <w:szCs w:val="32"/>
          <w:lang w:val="en-US" w:eastAsia="zh-CN"/>
        </w:rPr>
        <w:t>1</w:t>
      </w:r>
      <w:r>
        <w:rPr>
          <w:rFonts w:hint="eastAsia" w:ascii="仿宋" w:hAnsi="仿宋" w:eastAsia="仿宋" w:cs="仿宋"/>
          <w:b w:val="0"/>
          <w:bCs w:val="0"/>
          <w:color w:val="000000"/>
          <w:sz w:val="32"/>
          <w:szCs w:val="32"/>
        </w:rPr>
        <w:t>: 2024—2026年</w:t>
      </w:r>
      <w:r>
        <w:rPr>
          <w:rFonts w:hint="eastAsia" w:ascii="仿宋" w:hAnsi="仿宋" w:eastAsia="仿宋" w:cs="仿宋"/>
          <w:b w:val="0"/>
          <w:bCs w:val="0"/>
          <w:color w:val="000000"/>
          <w:sz w:val="32"/>
          <w:szCs w:val="32"/>
          <w:lang w:val="en-US" w:eastAsia="zh-CN"/>
        </w:rPr>
        <w:t>河南省</w:t>
      </w:r>
      <w:r>
        <w:rPr>
          <w:rFonts w:hint="eastAsia" w:ascii="仿宋" w:hAnsi="仿宋" w:eastAsia="仿宋" w:cs="仿宋"/>
          <w:b w:val="0"/>
          <w:bCs w:val="0"/>
          <w:color w:val="000000"/>
          <w:sz w:val="32"/>
          <w:szCs w:val="32"/>
        </w:rPr>
        <w:t>农机购置与应用补贴机具种类范围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bidi w:val="0"/>
        <w:adjustRightInd/>
        <w:snapToGrid/>
        <w:spacing w:line="52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bidi w:val="0"/>
        <w:adjustRightInd/>
        <w:snapToGrid/>
        <w:spacing w:line="52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原阳县农业农村局   原阳县财政局</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2024年12月6日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spacing w:line="256" w:lineRule="auto"/>
        <w:ind w:left="-39" w:right="984"/>
        <w:jc w:val="both"/>
        <w:rPr>
          <w:rFonts w:hint="eastAsia" w:ascii="方正小标宋简体" w:hAnsi="方正小标宋简体" w:eastAsia="方正小标宋简体" w:cs="方正小标宋简体"/>
          <w:w w:val="95"/>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257" w:lineRule="auto"/>
        <w:ind w:left="0" w:right="0"/>
        <w:textAlignment w:val="auto"/>
        <w:rPr>
          <w:rFonts w:hint="eastAsia" w:ascii="仿宋" w:hAnsi="仿宋" w:eastAsia="仿宋" w:cs="仿宋"/>
          <w:b/>
          <w:bCs/>
          <w:spacing w:val="21"/>
          <w:w w:val="95"/>
          <w:sz w:val="36"/>
          <w:szCs w:val="36"/>
        </w:rPr>
      </w:pPr>
      <w:r>
        <w:rPr>
          <w:rFonts w:hint="eastAsia" w:ascii="仿宋" w:hAnsi="仿宋" w:eastAsia="仿宋" w:cs="仿宋"/>
          <w:b/>
          <w:bCs/>
          <w:w w:val="95"/>
          <w:sz w:val="36"/>
          <w:szCs w:val="36"/>
        </w:rPr>
        <w:t>2024—2026</w:t>
      </w:r>
      <w:r>
        <w:rPr>
          <w:rFonts w:hint="eastAsia" w:ascii="仿宋" w:hAnsi="仿宋" w:eastAsia="仿宋" w:cs="仿宋"/>
          <w:b/>
          <w:bCs/>
          <w:spacing w:val="31"/>
          <w:w w:val="95"/>
          <w:sz w:val="36"/>
          <w:szCs w:val="36"/>
        </w:rPr>
        <w:t xml:space="preserve"> </w:t>
      </w:r>
      <w:r>
        <w:rPr>
          <w:rFonts w:hint="eastAsia" w:ascii="仿宋" w:hAnsi="仿宋" w:eastAsia="仿宋" w:cs="仿宋"/>
          <w:b/>
          <w:bCs/>
          <w:spacing w:val="21"/>
          <w:w w:val="95"/>
          <w:sz w:val="36"/>
          <w:szCs w:val="36"/>
        </w:rPr>
        <w:t>年</w:t>
      </w:r>
      <w:r>
        <w:rPr>
          <w:rFonts w:hint="eastAsia" w:ascii="仿宋" w:hAnsi="仿宋" w:eastAsia="仿宋" w:cs="仿宋"/>
          <w:b/>
          <w:bCs/>
          <w:spacing w:val="21"/>
          <w:w w:val="95"/>
          <w:sz w:val="36"/>
          <w:szCs w:val="36"/>
          <w:lang w:val="en-US" w:eastAsia="zh-CN"/>
        </w:rPr>
        <w:t>河南省</w:t>
      </w:r>
      <w:r>
        <w:rPr>
          <w:rFonts w:hint="eastAsia" w:ascii="仿宋" w:hAnsi="仿宋" w:eastAsia="仿宋" w:cs="仿宋"/>
          <w:b/>
          <w:bCs/>
          <w:spacing w:val="21"/>
          <w:w w:val="95"/>
          <w:sz w:val="36"/>
          <w:szCs w:val="36"/>
        </w:rPr>
        <w:t>农机购置与应用补贴</w:t>
      </w:r>
    </w:p>
    <w:p>
      <w:pPr>
        <w:pStyle w:val="2"/>
        <w:keepNext w:val="0"/>
        <w:keepLines w:val="0"/>
        <w:pageBreakBefore w:val="0"/>
        <w:widowControl w:val="0"/>
        <w:kinsoku/>
        <w:wordWrap/>
        <w:overflowPunct/>
        <w:topLinePunct w:val="0"/>
        <w:autoSpaceDE w:val="0"/>
        <w:autoSpaceDN w:val="0"/>
        <w:bidi w:val="0"/>
        <w:adjustRightInd/>
        <w:snapToGrid/>
        <w:spacing w:line="257" w:lineRule="auto"/>
        <w:ind w:left="0" w:right="0"/>
        <w:textAlignment w:val="auto"/>
        <w:rPr>
          <w:rFonts w:hint="eastAsia" w:ascii="仿宋" w:hAnsi="仿宋" w:eastAsia="仿宋" w:cs="仿宋"/>
          <w:b/>
          <w:bCs/>
          <w:sz w:val="36"/>
          <w:szCs w:val="36"/>
        </w:rPr>
      </w:pPr>
      <w:r>
        <w:rPr>
          <w:rFonts w:hint="eastAsia" w:ascii="仿宋" w:hAnsi="仿宋" w:eastAsia="仿宋" w:cs="仿宋"/>
          <w:b/>
          <w:bCs/>
          <w:spacing w:val="20"/>
          <w:sz w:val="36"/>
          <w:szCs w:val="36"/>
        </w:rPr>
        <w:t>机具种类范围</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仿宋" w:hAnsi="仿宋" w:eastAsia="仿宋" w:cs="仿宋"/>
          <w:w w:val="162"/>
          <w:sz w:val="36"/>
          <w:szCs w:val="36"/>
        </w:rPr>
      </w:pPr>
      <w:r>
        <w:rPr>
          <w:rFonts w:hint="eastAsia" w:ascii="仿宋" w:hAnsi="仿宋" w:eastAsia="仿宋" w:cs="仿宋"/>
          <w:b/>
          <w:bCs/>
          <w:color w:val="auto"/>
          <w:spacing w:val="23"/>
          <w:w w:val="162"/>
          <w:sz w:val="36"/>
          <w:szCs w:val="36"/>
        </w:rPr>
        <w:t>(</w:t>
      </w:r>
      <w:r>
        <w:rPr>
          <w:rFonts w:hint="eastAsia" w:ascii="仿宋" w:hAnsi="仿宋" w:eastAsia="仿宋" w:cs="仿宋"/>
          <w:b/>
          <w:bCs/>
          <w:color w:val="auto"/>
          <w:w w:val="80"/>
          <w:sz w:val="36"/>
          <w:szCs w:val="36"/>
        </w:rPr>
        <w:t>2</w:t>
      </w:r>
      <w:r>
        <w:rPr>
          <w:rFonts w:hint="eastAsia" w:ascii="仿宋" w:hAnsi="仿宋" w:eastAsia="仿宋" w:cs="仿宋"/>
          <w:b/>
          <w:bCs/>
          <w:color w:val="auto"/>
          <w:w w:val="80"/>
          <w:sz w:val="36"/>
          <w:szCs w:val="36"/>
          <w:lang w:val="en-US" w:eastAsia="zh-CN"/>
        </w:rPr>
        <w:t>2</w:t>
      </w:r>
      <w:r>
        <w:rPr>
          <w:rFonts w:hint="eastAsia" w:ascii="仿宋" w:hAnsi="仿宋" w:eastAsia="仿宋" w:cs="仿宋"/>
          <w:b/>
          <w:bCs/>
          <w:color w:val="auto"/>
          <w:spacing w:val="9"/>
          <w:w w:val="101"/>
          <w:sz w:val="36"/>
          <w:szCs w:val="36"/>
        </w:rPr>
        <w:t>大类</w:t>
      </w:r>
      <w:r>
        <w:rPr>
          <w:rFonts w:hint="eastAsia" w:ascii="仿宋" w:hAnsi="仿宋" w:eastAsia="仿宋" w:cs="仿宋"/>
          <w:b/>
          <w:bCs/>
          <w:color w:val="000000" w:themeColor="text1"/>
          <w:spacing w:val="-66"/>
          <w:sz w:val="36"/>
          <w:szCs w:val="36"/>
          <w14:textFill>
            <w14:solidFill>
              <w14:schemeClr w14:val="tx1"/>
            </w14:solidFill>
          </w14:textFill>
        </w:rPr>
        <w:t xml:space="preserve"> </w:t>
      </w:r>
      <w:r>
        <w:rPr>
          <w:rFonts w:hint="eastAsia" w:ascii="仿宋" w:hAnsi="仿宋" w:eastAsia="仿宋" w:cs="仿宋"/>
          <w:b/>
          <w:bCs/>
          <w:color w:val="000000" w:themeColor="text1"/>
          <w:spacing w:val="-1"/>
          <w:w w:val="80"/>
          <w:sz w:val="36"/>
          <w:szCs w:val="36"/>
          <w:lang w:val="en-US" w:eastAsia="zh-CN"/>
          <w14:textFill>
            <w14:solidFill>
              <w14:schemeClr w14:val="tx1"/>
            </w14:solidFill>
          </w14:textFill>
        </w:rPr>
        <w:t>48</w:t>
      </w:r>
      <w:r>
        <w:rPr>
          <w:rFonts w:hint="eastAsia" w:ascii="仿宋" w:hAnsi="仿宋" w:eastAsia="仿宋" w:cs="仿宋"/>
          <w:b/>
          <w:bCs/>
          <w:color w:val="auto"/>
          <w:spacing w:val="12"/>
          <w:w w:val="101"/>
          <w:sz w:val="36"/>
          <w:szCs w:val="36"/>
        </w:rPr>
        <w:t>个小类</w:t>
      </w:r>
      <w:r>
        <w:rPr>
          <w:rFonts w:hint="eastAsia" w:ascii="仿宋" w:hAnsi="仿宋" w:eastAsia="仿宋" w:cs="仿宋"/>
          <w:b/>
          <w:bCs/>
          <w:color w:val="auto"/>
          <w:w w:val="80"/>
          <w:sz w:val="36"/>
          <w:szCs w:val="36"/>
          <w:lang w:val="en-US" w:eastAsia="zh-CN"/>
        </w:rPr>
        <w:t>138</w:t>
      </w:r>
      <w:r>
        <w:rPr>
          <w:rFonts w:hint="eastAsia" w:ascii="仿宋" w:hAnsi="仿宋" w:eastAsia="仿宋" w:cs="仿宋"/>
          <w:b/>
          <w:bCs/>
          <w:color w:val="auto"/>
          <w:w w:val="80"/>
          <w:sz w:val="36"/>
          <w:szCs w:val="36"/>
        </w:rPr>
        <w:t>个</w:t>
      </w:r>
      <w:r>
        <w:rPr>
          <w:rFonts w:hint="eastAsia" w:ascii="仿宋" w:hAnsi="仿宋" w:eastAsia="仿宋" w:cs="仿宋"/>
          <w:b/>
          <w:bCs/>
          <w:color w:val="auto"/>
          <w:spacing w:val="19"/>
          <w:w w:val="101"/>
          <w:sz w:val="36"/>
          <w:szCs w:val="36"/>
        </w:rPr>
        <w:t>品目</w:t>
      </w:r>
      <w:r>
        <w:rPr>
          <w:rFonts w:hint="eastAsia" w:ascii="仿宋" w:hAnsi="仿宋" w:eastAsia="仿宋" w:cs="仿宋"/>
          <w:b/>
          <w:bCs/>
          <w:color w:val="auto"/>
          <w:w w:val="162"/>
          <w:sz w:val="36"/>
          <w:szCs w:val="36"/>
        </w:rPr>
        <w:t>)</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1.耕整地机械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1.1 耕地机械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1.1.1 犁</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1.1.2 旋耕机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1.1.3 微型耕耘机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1.1.4 耕整机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1.1.5 深松机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1.1.6 开沟机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 xml:space="preserve">1.1.7 </w:t>
      </w:r>
      <w:r>
        <w:rPr>
          <w:rFonts w:hint="eastAsia" w:ascii="仿宋" w:hAnsi="仿宋" w:eastAsia="仿宋" w:cs="仿宋"/>
          <w:sz w:val="28"/>
          <w:szCs w:val="28"/>
        </w:rPr>
        <w:t>挖坑( 成穴) 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1.2 整地机械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1.2.1 耙（限圆盘耙、驱动耙）</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1.2.2 埋茬起浆机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 xml:space="preserve">1.2.3 </w:t>
      </w:r>
      <w:r>
        <w:rPr>
          <w:rFonts w:hint="eastAsia" w:ascii="仿宋" w:hAnsi="仿宋" w:eastAsia="仿宋" w:cs="仿宋"/>
          <w:spacing w:val="12"/>
          <w:sz w:val="28"/>
          <w:szCs w:val="28"/>
        </w:rPr>
        <w:t>起垄机</w:t>
      </w:r>
      <w:r>
        <w:rPr>
          <w:rFonts w:hint="eastAsia" w:ascii="仿宋" w:hAnsi="仿宋" w:eastAsia="仿宋" w:cs="仿宋"/>
          <w:spacing w:val="15"/>
          <w:sz w:val="28"/>
          <w:szCs w:val="28"/>
          <w:lang w:val="en-US" w:eastAsia="zh-CN"/>
        </w:rPr>
        <w:t xml:space="preserve"> </w:t>
      </w:r>
    </w:p>
    <w:p>
      <w:pPr>
        <w:pStyle w:val="3"/>
        <w:keepNext w:val="0"/>
        <w:keepLines w:val="0"/>
        <w:pageBreakBefore w:val="0"/>
        <w:widowControl w:val="0"/>
        <w:kinsoku/>
        <w:wordWrap/>
        <w:overflowPunct/>
        <w:topLinePunct w:val="0"/>
        <w:bidi w:val="0"/>
        <w:adjustRightInd/>
        <w:snapToGrid/>
        <w:spacing w:before="182" w:line="440" w:lineRule="exac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 xml:space="preserve">1.2.4 </w:t>
      </w:r>
      <w:r>
        <w:rPr>
          <w:rFonts w:hint="eastAsia" w:ascii="仿宋" w:hAnsi="仿宋" w:eastAsia="仿宋" w:cs="仿宋"/>
          <w:spacing w:val="12"/>
          <w:sz w:val="28"/>
          <w:szCs w:val="28"/>
        </w:rPr>
        <w:t>筑埂机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 xml:space="preserve">1.2.5 </w:t>
      </w:r>
      <w:r>
        <w:rPr>
          <w:rFonts w:hint="eastAsia" w:ascii="仿宋" w:hAnsi="仿宋" w:eastAsia="仿宋" w:cs="仿宋"/>
          <w:sz w:val="28"/>
          <w:szCs w:val="28"/>
        </w:rPr>
        <w:t>灭茬机( 不含平茬机</w:t>
      </w:r>
      <w:r>
        <w:rPr>
          <w:rFonts w:hint="eastAsia" w:ascii="仿宋" w:hAnsi="仿宋" w:eastAsia="仿宋" w:cs="仿宋"/>
          <w:w w:val="85"/>
          <w:sz w:val="28"/>
          <w:szCs w:val="28"/>
        </w:rPr>
        <w:t>、</w:t>
      </w:r>
      <w:r>
        <w:rPr>
          <w:rFonts w:hint="eastAsia" w:ascii="仿宋" w:hAnsi="仿宋" w:eastAsia="仿宋" w:cs="仿宋"/>
          <w:sz w:val="28"/>
          <w:szCs w:val="28"/>
        </w:rPr>
        <w:t>宿根整理机)</w:t>
      </w:r>
      <w:r>
        <w:rPr>
          <w:rFonts w:hint="eastAsia" w:ascii="仿宋" w:hAnsi="仿宋" w:eastAsia="仿宋" w:cs="仿宋"/>
          <w:spacing w:val="15"/>
          <w:sz w:val="28"/>
          <w:szCs w:val="28"/>
          <w:lang w:val="en-US" w:eastAsia="zh-CN"/>
        </w:rPr>
        <w:t xml:space="preserve"> </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 xml:space="preserve">1.2.6 </w:t>
      </w:r>
      <w:r>
        <w:rPr>
          <w:rFonts w:hint="eastAsia" w:ascii="仿宋" w:hAnsi="仿宋" w:eastAsia="仿宋" w:cs="仿宋"/>
          <w:sz w:val="28"/>
          <w:szCs w:val="28"/>
        </w:rPr>
        <w:t>铺膜机</w:t>
      </w:r>
      <w:r>
        <w:rPr>
          <w:rFonts w:hint="eastAsia" w:ascii="仿宋" w:hAnsi="仿宋" w:eastAsia="仿宋" w:cs="仿宋"/>
          <w:spacing w:val="15"/>
          <w:sz w:val="28"/>
          <w:szCs w:val="28"/>
          <w:lang w:val="en-US" w:eastAsia="zh-CN"/>
        </w:rPr>
        <w:t xml:space="preserve"> </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1.3 耕整地联合作业机械（可含施肥功能）</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1.3.1 联合整地机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1.3.2 深松整地联合作业机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2.种植施肥机械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2.1 种子播前处理和育苗机械设备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2.1.1 种子催芽机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2.1.2 苗床用土粉碎机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2.1.3 育秧（苗）播种设备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2.1.4 营养钵压制机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2.2 播种机械（可含施肥功能）</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2.2.1 条播机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2.2.2 穴播机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2.2.3 单粒（精密）播种机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2.2.4 根（块）茎种子播种机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2.3 耕整地播种作业机械（可含施肥功能）</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2.3.1 旋耕播种机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2.3.2 铺膜（带）播种机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2.3.3 秸秆还田整地播种机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2.4 栽植机械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2.4.1 插秧机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2.4.2 抛秧机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2.4.3 移栽机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2.5 施肥机械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2.5.1 施肥机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2.5.2 撒（抛）肥机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2.5.3 侧深施肥装置</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3.田间管理机械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 xml:space="preserve">3.1 </w:t>
      </w:r>
      <w:r>
        <w:rPr>
          <w:rFonts w:hint="eastAsia" w:ascii="仿宋" w:hAnsi="仿宋" w:eastAsia="仿宋" w:cs="仿宋"/>
          <w:b/>
          <w:bCs/>
          <w:spacing w:val="14"/>
          <w:sz w:val="28"/>
          <w:szCs w:val="28"/>
        </w:rPr>
        <w:t>中耕机械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 xml:space="preserve">3.1.1 </w:t>
      </w:r>
      <w:r>
        <w:rPr>
          <w:rFonts w:hint="eastAsia" w:ascii="仿宋" w:hAnsi="仿宋" w:eastAsia="仿宋" w:cs="仿宋"/>
          <w:spacing w:val="14"/>
          <w:sz w:val="28"/>
          <w:szCs w:val="28"/>
        </w:rPr>
        <w:t>中耕机</w:t>
      </w:r>
      <w:r>
        <w:rPr>
          <w:rFonts w:hint="eastAsia" w:ascii="仿宋" w:hAnsi="仿宋" w:eastAsia="仿宋" w:cs="仿宋"/>
          <w:spacing w:val="15"/>
          <w:sz w:val="28"/>
          <w:szCs w:val="28"/>
          <w:lang w:val="en-US" w:eastAsia="zh-CN"/>
        </w:rPr>
        <w:t xml:space="preserve"> </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3.1.2 田园管理机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3.1.3 割草机（含果园无人割草机）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3.2 植保机械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3.2.1 喷雾机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3.2.2 农用（植保）无人驾驶航空器（可含撒播等功能）</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3.3 修剪防护管理机械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3.3.1 修剪机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3.3.2 枝条切碎机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3.3.3 去雄机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 xml:space="preserve">3.3.4 </w:t>
      </w:r>
      <w:r>
        <w:rPr>
          <w:rFonts w:hint="eastAsia" w:ascii="仿宋" w:hAnsi="仿宋" w:eastAsia="仿宋" w:cs="仿宋"/>
          <w:spacing w:val="12"/>
          <w:sz w:val="28"/>
          <w:szCs w:val="28"/>
        </w:rPr>
        <w:t>埋藤机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3.3.5 农用升降作业平台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4.灌溉机械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4.1 喷灌机械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4.1.1 喷灌机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4.2 微灌设备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4.2.1 微喷灌设备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4.2.2 灌溉首部</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5.收获机械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5.1 粮食作物收获机械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5.1.1 割晒机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5.1.2 脱粒机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5.1.3 谷物联合收割机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5.1.4 玉米收获机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5.1.5 薯类收获机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5.2 油料作物收获机械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5.2.1 大豆收获机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5.2.2 花生收获机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5.2.3 油菜籽收获机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5.3 糖料作物收获机械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 xml:space="preserve">5.3.1 </w:t>
      </w:r>
      <w:r>
        <w:rPr>
          <w:rFonts w:hint="eastAsia" w:ascii="仿宋" w:hAnsi="仿宋" w:eastAsia="仿宋" w:cs="仿宋"/>
          <w:spacing w:val="16"/>
          <w:sz w:val="28"/>
          <w:szCs w:val="28"/>
        </w:rPr>
        <w:t>甘蔗联合收获机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5.4 果菜茶烟草药收获机械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5.4.1 叶类采收机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5.4.2 果类收获机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5.4.3 瓜类采收机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5.4.4 根（茎）类收获机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5.5 秸秆收集处理机械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5.5.1 秸秆粉碎还田机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5.6 收获割台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5.6.1 大豆收获专用割台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5.6.2 玉米收获专用割台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6.设施种植机械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6.1 食用菌生产设备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6.1.1 菌料灭菌设备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6.1.2 菌料装瓶（袋）机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7.田间监测及作业监控设备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7.1 田间作业监控设备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7.1.1 辅助驾驶（系统）设备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8.种植业废弃物处理设备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8.1 农田废弃物收集设备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8.1.1 残膜回收机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8.2 农作物废弃物处理设备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8.2.1 生物质气化设备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8.2.2 秸秆压块（粒、棒）机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9.饲料（草）收获加工运输设备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9.1 饲料（草）收获机械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9.1.1 割草（压扁）机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9.1.2 搂草机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9.1.3 打（压）捆机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9.1.4 草捆包膜机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9.1.5 青（黄）饲料收获机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9.1.6 打捆包膜机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9.2 饲料（草）加工机械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9.2.1 铡草机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9.2.2 青贮切碎机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9.2.3 饲料（草）粉碎机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9.2.4 颗粒饲料压制机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9.2.5 饲料混合机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 xml:space="preserve">9.2.6 </w:t>
      </w:r>
      <w:r>
        <w:rPr>
          <w:rFonts w:hint="eastAsia" w:ascii="仿宋" w:hAnsi="仿宋" w:eastAsia="仿宋" w:cs="仿宋"/>
          <w:sz w:val="28"/>
          <w:szCs w:val="28"/>
        </w:rPr>
        <w:t>饲料膨化机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9.2.7 全混合日粮制备机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9.3 饲料（草）搬运机械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9.3.1 饲草捆收集机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10.畜禽养殖机械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10.1 畜禽养殖成套设备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10.1.1 蜜蜂养殖设备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10.2 畜禽养殖消杀防疫机械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10.2.1 药浴机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10.3 畜禽繁育设备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10.3.1 孵化机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10.4 饲养设备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10.4.1 喂（送）料机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11.畜禽产品采集储运设备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11.1 畜禽产品采集设备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11.1.1 挤奶机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11.1.2 生鲜乳速冷设备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11.1.3 散装乳冷藏罐</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11.2 畜禽产品储运设备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11.2.1 储奶罐</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12.畜禽养殖废弃物及病死畜禽处理设备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12.1 畜禽粪污资源化利用设备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12.1.1 清粪机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12.1.2 畜禽粪污固液分离机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12.1.3 畜禽粪便发酵处理设备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12.1.4 畜禽粪便干燥设备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12.1.5 畜禽粪便翻堆设备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12.1.6 沼液沼渣抽排设备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12.2 病死畜禽储运及处理设备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12.2.1 病死畜禽处理设备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13.水产养殖机械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13.1 投饲机械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13.1.1 投（饲）饵机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13.2 水质调控设备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13.2.1 增氧机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13.2.2 水质调控监控设备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14.种子初加工机械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14.1 种子初加工机械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14.1.1 种子清选机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14.1.2 种子包衣机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15.粮油糖初加工机械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15.1 粮食初加工机械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15.1.1 粮食清选机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15.1.2 谷物（粮食）干燥机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15.1.3 碾米机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15.1.4 粮食色选机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15.1.5 磨粉机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15.1.6 磨浆机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15.2 油料初加工机械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15.2.1 油菜籽干燥机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15.2.2 油料果（籽）脱（剥）壳机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16.果菜茶初加工机械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16.1 果蔬初加工机械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16.1.1 果蔬分级机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16.1.2 果蔬清洗机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16.1.3 水果打蜡机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16.1.4 果蔬干燥机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16.1.5 干坚果脱壳机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16.1.6 果蔬去籽（核）机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16.1.7 果蔬冷藏保鲜设备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16.2 茶叶初加工机械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16.2.1 茶叶做青机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16.2.2 茶叶杀青机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16.2.3 茶叶揉捻机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16.2.4 茶叶压扁机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16.2.5 茶叶理条机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16.2.6 茶叶炒（烘）干机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16.2.7 茶叶清选机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16.2.8 茶叶色选机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16.2.9 茶叶输送机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17.农用动力机械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17.1 拖拉机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17.1.1 轮式拖拉机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17.1.2 手扶拖拉机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17.1.3 履带式拖拉机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18.农用搬运机械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18.1 农用运输机械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18.1.1 田间搬运机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18.1.2 轨道运输机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19.农用水泵</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19.1 农用水泵</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19.1.1 潜水电泵</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19.1.2 地面泵（机组）</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20.设施环境控制设备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20.1 设施环境控制设备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20.1.1 拉幕（卷帘）设备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20.1.2 加温设备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20.1.3 湿帘降温设备</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21.农田基本建设机械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21.1 平地机械（限与拖拉机配套）</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21.1.1 平地机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21.2 清理机械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21.2.1 捡（清）石机</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22.其他农业机械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b/>
          <w:bCs/>
          <w:spacing w:val="15"/>
          <w:sz w:val="28"/>
          <w:szCs w:val="28"/>
          <w:lang w:val="en-US" w:eastAsia="zh-CN"/>
        </w:rPr>
      </w:pPr>
      <w:r>
        <w:rPr>
          <w:rFonts w:hint="eastAsia" w:ascii="仿宋" w:hAnsi="仿宋" w:eastAsia="仿宋" w:cs="仿宋"/>
          <w:b/>
          <w:bCs/>
          <w:spacing w:val="15"/>
          <w:sz w:val="28"/>
          <w:szCs w:val="28"/>
          <w:lang w:val="en-US" w:eastAsia="zh-CN"/>
        </w:rPr>
        <w:t>22.1其他农业机械</w:t>
      </w:r>
    </w:p>
    <w:p>
      <w:pPr>
        <w:pStyle w:val="8"/>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40" w:lineRule="exact"/>
        <w:ind w:left="731" w:leftChars="0" w:right="0" w:rightChars="0"/>
        <w:jc w:val="left"/>
        <w:textAlignment w:val="auto"/>
        <w:rPr>
          <w:rFonts w:hint="eastAsia" w:ascii="仿宋" w:hAnsi="仿宋" w:eastAsia="仿宋" w:cs="仿宋"/>
          <w:color w:val="FF0000"/>
          <w:spacing w:val="15"/>
          <w:sz w:val="28"/>
          <w:szCs w:val="28"/>
          <w:lang w:val="en-US" w:eastAsia="zh-CN"/>
        </w:rPr>
      </w:pPr>
      <w:r>
        <w:rPr>
          <w:rFonts w:hint="eastAsia" w:ascii="仿宋" w:hAnsi="仿宋" w:eastAsia="仿宋" w:cs="仿宋"/>
          <w:spacing w:val="15"/>
          <w:sz w:val="28"/>
          <w:szCs w:val="28"/>
          <w:lang w:val="en-US" w:eastAsia="zh-CN"/>
        </w:rPr>
        <w:t>22.1.1水井钻机</w:t>
      </w:r>
    </w:p>
    <w:p>
      <w:pPr>
        <w:keepNext w:val="0"/>
        <w:keepLines w:val="0"/>
        <w:pageBreakBefore w:val="0"/>
        <w:widowControl w:val="0"/>
        <w:numPr>
          <w:ilvl w:val="0"/>
          <w:numId w:val="0"/>
        </w:numPr>
        <w:kinsoku/>
        <w:wordWrap/>
        <w:overflowPunct/>
        <w:topLinePunct w:val="0"/>
        <w:bidi w:val="0"/>
        <w:adjustRightInd/>
        <w:snapToGrid/>
        <w:spacing w:line="440" w:lineRule="exact"/>
        <w:ind w:leftChars="200" w:firstLine="560" w:firstLineChars="200"/>
        <w:textAlignment w:val="auto"/>
        <w:rPr>
          <w:rFonts w:hint="eastAsia" w:ascii="仿宋" w:hAnsi="仿宋" w:eastAsia="仿宋" w:cs="仿宋"/>
          <w:b w:val="0"/>
          <w:bCs w:val="0"/>
          <w:color w:val="000000"/>
          <w:sz w:val="28"/>
          <w:szCs w:val="28"/>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b/>
                              <w:bCs/>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  \* MERGEFORMAT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 w:hAnsi="仿宋" w:eastAsia="仿宋" w:cs="仿宋"/>
                        <w:b/>
                        <w:bCs/>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  \* MERGEFORMAT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414AA"/>
    <w:rsid w:val="1F9D1C75"/>
    <w:rsid w:val="20063CD9"/>
    <w:rsid w:val="2A0C54B8"/>
    <w:rsid w:val="33FF4682"/>
    <w:rsid w:val="3A726921"/>
    <w:rsid w:val="41131CFA"/>
    <w:rsid w:val="417C495F"/>
    <w:rsid w:val="43522556"/>
    <w:rsid w:val="46FB4915"/>
    <w:rsid w:val="4DE561D0"/>
    <w:rsid w:val="4F5A0CBD"/>
    <w:rsid w:val="4FC34044"/>
    <w:rsid w:val="577718AB"/>
    <w:rsid w:val="5D1508E7"/>
    <w:rsid w:val="62056516"/>
    <w:rsid w:val="6510045E"/>
    <w:rsid w:val="6BF71A04"/>
    <w:rsid w:val="6CF50BE1"/>
    <w:rsid w:val="6F5A159B"/>
    <w:rsid w:val="74D70C51"/>
    <w:rsid w:val="754B37F6"/>
    <w:rsid w:val="7A5F3EEF"/>
    <w:rsid w:val="7C4C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980"/>
      <w:jc w:val="center"/>
      <w:outlineLvl w:val="1"/>
    </w:pPr>
    <w:rPr>
      <w:rFonts w:ascii="PMingLiU" w:hAnsi="PMingLiU" w:eastAsia="PMingLiU" w:cs="PMingLiU"/>
      <w:sz w:val="39"/>
      <w:szCs w:val="39"/>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731"/>
    </w:pPr>
    <w:rPr>
      <w:rFonts w:ascii="宋体" w:hAnsi="宋体" w:eastAsia="宋体" w:cs="宋体"/>
      <w:sz w:val="29"/>
      <w:szCs w:val="29"/>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1"/>
    <w:pPr>
      <w:spacing w:before="175"/>
      <w:ind w:left="1201" w:hanging="471"/>
    </w:pPr>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2024-12-04T00:56:00Z</dcterms:created>
  <dc:creator>H</dc:creator>
  <cp:lastModifiedBy>Admin</cp:lastModifiedBy>
  <dcterms:modified xsi:type="dcterms:W3CDTF">2024-12-10T00:29:01Z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EF66225FD1DB4621848506CDF1AE2DA0</vt:lpwstr>
  </property>
</Properties>
</file>