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3F052">
      <w:pPr>
        <w:rPr>
          <w:rFonts w:hint="eastAsia"/>
        </w:rPr>
      </w:pPr>
      <w:r>
        <w:rPr>
          <w:sz w:val="20"/>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76200</wp:posOffset>
                </wp:positionV>
                <wp:extent cx="4280535" cy="1892300"/>
                <wp:effectExtent l="0" t="0" r="5715" b="12700"/>
                <wp:wrapNone/>
                <wp:docPr id="3" name="文本框 3"/>
                <wp:cNvGraphicFramePr/>
                <a:graphic xmlns:a="http://schemas.openxmlformats.org/drawingml/2006/main">
                  <a:graphicData uri="http://schemas.microsoft.com/office/word/2010/wordprocessingShape">
                    <wps:wsp>
                      <wps:cNvSpPr txBox="1"/>
                      <wps:spPr>
                        <a:xfrm>
                          <a:off x="0" y="0"/>
                          <a:ext cx="4280535" cy="1892300"/>
                        </a:xfrm>
                        <a:prstGeom prst="rect">
                          <a:avLst/>
                        </a:prstGeom>
                        <a:solidFill>
                          <a:srgbClr val="FFFFFF"/>
                        </a:solidFill>
                        <a:ln>
                          <a:noFill/>
                        </a:ln>
                      </wps:spPr>
                      <wps:txbx>
                        <w:txbxContent>
                          <w:p w14:paraId="568FF849">
                            <w:pPr>
                              <w:pStyle w:val="4"/>
                              <w:jc w:val="distribute"/>
                              <w:rPr>
                                <w:rFonts w:hint="eastAsia" w:ascii="宋体" w:hAnsi="宋体" w:eastAsia="宋体"/>
                                <w:b/>
                                <w:color w:val="FF0000"/>
                                <w:spacing w:val="-20"/>
                                <w:w w:val="95"/>
                                <w:szCs w:val="96"/>
                                <w:lang w:eastAsia="zh-CN"/>
                              </w:rPr>
                            </w:pPr>
                            <w:r>
                              <w:rPr>
                                <w:rFonts w:hint="eastAsia" w:ascii="宋体" w:hAnsi="宋体"/>
                                <w:b/>
                                <w:color w:val="FF0000"/>
                                <w:spacing w:val="-20"/>
                                <w:w w:val="95"/>
                                <w:kern w:val="10"/>
                                <w:sz w:val="84"/>
                                <w:szCs w:val="84"/>
                              </w:rPr>
                              <w:t>红旗区农</w:t>
                            </w:r>
                            <w:r>
                              <w:rPr>
                                <w:rFonts w:hint="eastAsia" w:ascii="宋体" w:hAnsi="宋体"/>
                                <w:b/>
                                <w:color w:val="FF0000"/>
                                <w:spacing w:val="-20"/>
                                <w:w w:val="95"/>
                                <w:kern w:val="10"/>
                                <w:sz w:val="84"/>
                                <w:szCs w:val="84"/>
                                <w:lang w:eastAsia="zh-CN"/>
                              </w:rPr>
                              <w:t>业农村局</w:t>
                            </w:r>
                          </w:p>
                          <w:p w14:paraId="6281E643">
                            <w:pPr>
                              <w:jc w:val="distribute"/>
                              <w:rPr>
                                <w:rFonts w:hint="eastAsia" w:ascii="宋体" w:hAnsi="宋体"/>
                                <w:b/>
                                <w:color w:val="FF0000"/>
                                <w:spacing w:val="-20"/>
                                <w:szCs w:val="72"/>
                              </w:rPr>
                            </w:pPr>
                            <w:r>
                              <w:rPr>
                                <w:rFonts w:hint="eastAsia" w:ascii="宋体" w:hAnsi="宋体"/>
                                <w:b/>
                                <w:color w:val="FF0000"/>
                                <w:spacing w:val="-20"/>
                                <w:sz w:val="84"/>
                                <w:szCs w:val="84"/>
                              </w:rPr>
                              <w:t>红旗区财政局</w:t>
                            </w:r>
                          </w:p>
                        </w:txbxContent>
                      </wps:txbx>
                      <wps:bodyPr upright="1"/>
                    </wps:wsp>
                  </a:graphicData>
                </a:graphic>
              </wp:anchor>
            </w:drawing>
          </mc:Choice>
          <mc:Fallback>
            <w:pict>
              <v:shape id="_x0000_s1026" o:spid="_x0000_s1026" o:spt="202" type="#_x0000_t202" style="position:absolute;left:0pt;margin-left:9.7pt;margin-top:6pt;height:149pt;width:337.05pt;z-index:251659264;mso-width-relative:page;mso-height-relative:page;" fillcolor="#FFFFFF" filled="t" stroked="f" coordsize="21600,21600" o:gfxdata="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81VedcAAAAJAQAADwAAAAAAAAABACAAAAAiAAAAZHJzL2Rvd25yZXYu&#10;eG1sUEsBAhQAFAAAAAgAh07iQOeH8GrDAQAAeAMAAA4AAAAAAAAAAQAgAAAAJgEAAGRycy9lMm9E&#10;b2MueG1sUEsFBgAAAAAGAAYAWQEAAFsFAAAAAA==&#10;">
                <v:fill on="t" focussize="0,0"/>
                <v:stroke on="f"/>
                <v:imagedata o:title=""/>
                <o:lock v:ext="edit" aspectratio="f"/>
                <v:textbox>
                  <w:txbxContent>
                    <w:p w14:paraId="568FF849">
                      <w:pPr>
                        <w:pStyle w:val="4"/>
                        <w:jc w:val="distribute"/>
                        <w:rPr>
                          <w:rFonts w:hint="eastAsia" w:ascii="宋体" w:hAnsi="宋体" w:eastAsia="宋体"/>
                          <w:b/>
                          <w:color w:val="FF0000"/>
                          <w:spacing w:val="-20"/>
                          <w:w w:val="95"/>
                          <w:szCs w:val="96"/>
                          <w:lang w:eastAsia="zh-CN"/>
                        </w:rPr>
                      </w:pPr>
                      <w:r>
                        <w:rPr>
                          <w:rFonts w:hint="eastAsia" w:ascii="宋体" w:hAnsi="宋体"/>
                          <w:b/>
                          <w:color w:val="FF0000"/>
                          <w:spacing w:val="-20"/>
                          <w:w w:val="95"/>
                          <w:kern w:val="10"/>
                          <w:sz w:val="84"/>
                          <w:szCs w:val="84"/>
                        </w:rPr>
                        <w:t>红旗区农</w:t>
                      </w:r>
                      <w:r>
                        <w:rPr>
                          <w:rFonts w:hint="eastAsia" w:ascii="宋体" w:hAnsi="宋体"/>
                          <w:b/>
                          <w:color w:val="FF0000"/>
                          <w:spacing w:val="-20"/>
                          <w:w w:val="95"/>
                          <w:kern w:val="10"/>
                          <w:sz w:val="84"/>
                          <w:szCs w:val="84"/>
                          <w:lang w:eastAsia="zh-CN"/>
                        </w:rPr>
                        <w:t>业农村局</w:t>
                      </w:r>
                    </w:p>
                    <w:p w14:paraId="6281E643">
                      <w:pPr>
                        <w:jc w:val="distribute"/>
                        <w:rPr>
                          <w:rFonts w:hint="eastAsia" w:ascii="宋体" w:hAnsi="宋体"/>
                          <w:b/>
                          <w:color w:val="FF0000"/>
                          <w:spacing w:val="-20"/>
                          <w:szCs w:val="72"/>
                        </w:rPr>
                      </w:pPr>
                      <w:r>
                        <w:rPr>
                          <w:rFonts w:hint="eastAsia" w:ascii="宋体" w:hAnsi="宋体"/>
                          <w:b/>
                          <w:color w:val="FF0000"/>
                          <w:spacing w:val="-20"/>
                          <w:sz w:val="84"/>
                          <w:szCs w:val="84"/>
                        </w:rPr>
                        <w:t>红旗区财政局</w:t>
                      </w:r>
                    </w:p>
                  </w:txbxContent>
                </v:textbox>
              </v:shape>
            </w:pict>
          </mc:Fallback>
        </mc:AlternateContent>
      </w:r>
    </w:p>
    <w:p w14:paraId="0BC78681">
      <w:r>
        <w:rPr>
          <w:sz w:val="20"/>
        </w:rPr>
        <mc:AlternateContent>
          <mc:Choice Requires="wps">
            <w:drawing>
              <wp:anchor distT="0" distB="0" distL="114300" distR="114300" simplePos="0" relativeHeight="251660288" behindDoc="0" locked="0" layoutInCell="1" allowOverlap="1">
                <wp:simplePos x="0" y="0"/>
                <wp:positionH relativeFrom="column">
                  <wp:posOffset>4279265</wp:posOffset>
                </wp:positionH>
                <wp:positionV relativeFrom="paragraph">
                  <wp:posOffset>114935</wp:posOffset>
                </wp:positionV>
                <wp:extent cx="1362710" cy="920750"/>
                <wp:effectExtent l="0" t="0" r="8890" b="12700"/>
                <wp:wrapNone/>
                <wp:docPr id="2" name="文本框 2"/>
                <wp:cNvGraphicFramePr/>
                <a:graphic xmlns:a="http://schemas.openxmlformats.org/drawingml/2006/main">
                  <a:graphicData uri="http://schemas.microsoft.com/office/word/2010/wordprocessingShape">
                    <wps:wsp>
                      <wps:cNvSpPr txBox="1"/>
                      <wps:spPr>
                        <a:xfrm>
                          <a:off x="0" y="0"/>
                          <a:ext cx="1362710" cy="920750"/>
                        </a:xfrm>
                        <a:prstGeom prst="rect">
                          <a:avLst/>
                        </a:prstGeom>
                        <a:solidFill>
                          <a:srgbClr val="FFFFFF"/>
                        </a:solidFill>
                        <a:ln>
                          <a:noFill/>
                        </a:ln>
                      </wps:spPr>
                      <wps:txbx>
                        <w:txbxContent>
                          <w:p w14:paraId="395FE53C">
                            <w:pPr>
                              <w:rPr>
                                <w:rFonts w:hint="eastAsia"/>
                              </w:rPr>
                            </w:pPr>
                            <w:r>
                              <w:rPr>
                                <w:rFonts w:hint="eastAsia"/>
                                <w:b/>
                                <w:color w:val="FF0000"/>
                                <w:spacing w:val="-20"/>
                                <w:w w:val="85"/>
                                <w:sz w:val="96"/>
                              </w:rPr>
                              <w:t>文件</w:t>
                            </w:r>
                          </w:p>
                        </w:txbxContent>
                      </wps:txbx>
                      <wps:bodyPr upright="1"/>
                    </wps:wsp>
                  </a:graphicData>
                </a:graphic>
              </wp:anchor>
            </w:drawing>
          </mc:Choice>
          <mc:Fallback>
            <w:pict>
              <v:shape id="_x0000_s1026" o:spid="_x0000_s1026" o:spt="202" type="#_x0000_t202" style="position:absolute;left:0pt;margin-left:336.95pt;margin-top:9.05pt;height:72.5pt;width:107.3pt;z-index:251660288;mso-width-relative:page;mso-height-relative:page;" fillcolor="#FFFFFF" filled="t" stroked="f" coordsize="21600,21600" o:gfxdata="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07w6DXAAAACgEAAA8AAAAAAAAAAQAgAAAAIgAAAGRycy9kb3ducmV2Lnht&#10;bFBLAQIUABQAAAAIAIdO4kCbEEXywQEAAHcDAAAOAAAAAAAAAAEAIAAAACYBAABkcnMvZTJvRG9j&#10;LnhtbFBLBQYAAAAABgAGAFkBAABZBQAAAAA=&#10;">
                <v:fill on="t" focussize="0,0"/>
                <v:stroke on="f"/>
                <v:imagedata o:title=""/>
                <o:lock v:ext="edit" aspectratio="f"/>
                <v:textbox>
                  <w:txbxContent>
                    <w:p w14:paraId="395FE53C">
                      <w:pPr>
                        <w:rPr>
                          <w:rFonts w:hint="eastAsia"/>
                        </w:rPr>
                      </w:pPr>
                      <w:r>
                        <w:rPr>
                          <w:rFonts w:hint="eastAsia"/>
                          <w:b/>
                          <w:color w:val="FF0000"/>
                          <w:spacing w:val="-20"/>
                          <w:w w:val="85"/>
                          <w:sz w:val="96"/>
                        </w:rPr>
                        <w:t>文件</w:t>
                      </w:r>
                    </w:p>
                  </w:txbxContent>
                </v:textbox>
              </v:shape>
            </w:pict>
          </mc:Fallback>
        </mc:AlternateContent>
      </w:r>
    </w:p>
    <w:p w14:paraId="3D08839F"/>
    <w:p w14:paraId="1FC9EC19"/>
    <w:p w14:paraId="3ABBF8E5"/>
    <w:p w14:paraId="3FB8D430"/>
    <w:p w14:paraId="7856B996"/>
    <w:p w14:paraId="5CAC3744"/>
    <w:p w14:paraId="0DB1A91D"/>
    <w:p w14:paraId="20BA2E75">
      <w:pPr>
        <w:rPr>
          <w:rFonts w:hint="eastAsia"/>
        </w:rPr>
      </w:pPr>
    </w:p>
    <w:p w14:paraId="61B55CD5">
      <w:pPr>
        <w:spacing w:line="360" w:lineRule="auto"/>
        <w:rPr>
          <w:rFonts w:hint="eastAsia" w:ascii="仿宋_GB2312"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4437380</wp:posOffset>
                </wp:positionH>
                <wp:positionV relativeFrom="paragraph">
                  <wp:posOffset>77470</wp:posOffset>
                </wp:positionV>
                <wp:extent cx="801370" cy="845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1370" cy="845820"/>
                        </a:xfrm>
                        <a:prstGeom prst="rect">
                          <a:avLst/>
                        </a:prstGeom>
                        <a:noFill/>
                        <a:ln>
                          <a:noFill/>
                        </a:ln>
                      </wps:spPr>
                      <wps:txbx>
                        <w:txbxContent>
                          <w:p w14:paraId="02C3A5ED">
                            <w:pPr>
                              <w:spacing w:line="480" w:lineRule="exact"/>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杨树燕</w:t>
                            </w:r>
                          </w:p>
                          <w:p w14:paraId="095058D6">
                            <w:pPr>
                              <w:spacing w:line="480" w:lineRule="exact"/>
                              <w:rPr>
                                <w:rFonts w:hint="eastAsia"/>
                              </w:rPr>
                            </w:pPr>
                            <w:r>
                              <w:rPr>
                                <w:rFonts w:hint="eastAsia" w:ascii="楷体_GB2312" w:hAnsi="楷体_GB2312" w:eastAsia="楷体_GB2312" w:cs="楷体_GB2312"/>
                                <w:b w:val="0"/>
                                <w:bCs w:val="0"/>
                                <w:sz w:val="32"/>
                                <w:lang w:val="en-US" w:eastAsia="zh-CN"/>
                              </w:rPr>
                              <w:t>魏  曾</w:t>
                            </w:r>
                          </w:p>
                        </w:txbxContent>
                      </wps:txbx>
                      <wps:bodyPr upright="1"/>
                    </wps:wsp>
                  </a:graphicData>
                </a:graphic>
              </wp:anchor>
            </w:drawing>
          </mc:Choice>
          <mc:Fallback>
            <w:pict>
              <v:shape id="_x0000_s1026" o:spid="_x0000_s1026" o:spt="202" type="#_x0000_t202" style="position:absolute;left:0pt;margin-left:349.4pt;margin-top:6.1pt;height:66.6pt;width:63.1pt;z-index:251661312;mso-width-relative:page;mso-height-relative:page;" filled="f" stroked="f" coordsize="21600,21600" o:gfxdata="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tCo9cAAAAK&#10;AQAADwAAAAAAAAABACAAAAAiAAAAZHJzL2Rvd25yZXYueG1sUEsBAhQAFAAAAAgAh07iQJoplRer&#10;AQAATQMAAA4AAAAAAAAAAQAgAAAAJgEAAGRycy9lMm9Eb2MueG1sUEsFBgAAAAAGAAYAWQEAAEMF&#10;AAAAAA==&#10;">
                <v:fill on="f" focussize="0,0"/>
                <v:stroke on="f"/>
                <v:imagedata o:title=""/>
                <o:lock v:ext="edit" aspectratio="f"/>
                <v:textbox>
                  <w:txbxContent>
                    <w:p w14:paraId="02C3A5ED">
                      <w:pPr>
                        <w:spacing w:line="480" w:lineRule="exact"/>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杨树燕</w:t>
                      </w:r>
                    </w:p>
                    <w:p w14:paraId="095058D6">
                      <w:pPr>
                        <w:spacing w:line="480" w:lineRule="exact"/>
                        <w:rPr>
                          <w:rFonts w:hint="eastAsia"/>
                        </w:rPr>
                      </w:pPr>
                      <w:r>
                        <w:rPr>
                          <w:rFonts w:hint="eastAsia" w:ascii="楷体_GB2312" w:hAnsi="楷体_GB2312" w:eastAsia="楷体_GB2312" w:cs="楷体_GB2312"/>
                          <w:b w:val="0"/>
                          <w:bCs w:val="0"/>
                          <w:sz w:val="32"/>
                          <w:lang w:val="en-US" w:eastAsia="zh-CN"/>
                        </w:rPr>
                        <w:t>魏  曾</w:t>
                      </w:r>
                    </w:p>
                  </w:txbxContent>
                </v:textbox>
              </v:shape>
            </w:pict>
          </mc:Fallback>
        </mc:AlternateContent>
      </w:r>
    </w:p>
    <w:p w14:paraId="581294BB">
      <w:pPr>
        <w:spacing w:line="360" w:lineRule="auto"/>
        <w:ind w:firstLine="320" w:firstLineChars="100"/>
        <w:rPr>
          <w:rFonts w:hint="eastAsia"/>
        </w:rPr>
      </w:pPr>
      <w:r>
        <w:rPr>
          <w:rFonts w:hint="eastAsia" w:ascii="仿宋_GB2312" w:eastAsia="仿宋_GB2312"/>
          <w:sz w:val="32"/>
        </w:rPr>
        <w:t xml:space="preserve"> 红农</w:t>
      </w:r>
      <w:r>
        <w:rPr>
          <w:rFonts w:hint="eastAsia" w:ascii="仿宋_GB2312" w:hAnsi="宋体" w:eastAsia="仿宋_GB2312"/>
          <w:color w:val="000000"/>
          <w:sz w:val="32"/>
        </w:rPr>
        <w:t>〔20</w:t>
      </w:r>
      <w:r>
        <w:rPr>
          <w:rFonts w:hint="eastAsia" w:ascii="仿宋_GB2312" w:hAnsi="宋体" w:eastAsia="仿宋_GB2312"/>
          <w:color w:val="000000"/>
          <w:sz w:val="32"/>
          <w:lang w:val="en-US" w:eastAsia="zh-CN"/>
        </w:rPr>
        <w:t xml:space="preserve">24〕43  </w:t>
      </w:r>
      <w:r>
        <w:rPr>
          <w:rFonts w:hint="eastAsia" w:ascii="仿宋_GB2312" w:hAnsi="宋体" w:eastAsia="仿宋_GB2312"/>
          <w:color w:val="auto"/>
          <w:sz w:val="32"/>
        </w:rPr>
        <w:t xml:space="preserve">号 </w:t>
      </w:r>
      <w:r>
        <w:rPr>
          <w:rFonts w:hint="eastAsia" w:ascii="仿宋_GB2312" w:hAnsi="宋体" w:eastAsia="仿宋_GB2312"/>
          <w:sz w:val="32"/>
        </w:rPr>
        <w:t xml:space="preserve"> </w:t>
      </w:r>
      <w:r>
        <w:rPr>
          <w:rFonts w:hint="eastAsia" w:ascii="宋体" w:hAnsi="宋体"/>
        </w:rPr>
        <w:t xml:space="preserve">                  </w:t>
      </w:r>
      <w:r>
        <w:rPr>
          <w:rFonts w:hint="eastAsia" w:ascii="宋体" w:hAnsi="宋体"/>
          <w:lang w:val="en-US" w:eastAsia="zh-CN"/>
        </w:rPr>
        <w:t xml:space="preserve">   </w:t>
      </w:r>
      <w:bookmarkStart w:id="0" w:name="_GoBack"/>
      <w:bookmarkEnd w:id="0"/>
      <w:r>
        <w:rPr>
          <w:rFonts w:hint="eastAsia" w:ascii="宋体" w:hAnsi="宋体"/>
          <w:lang w:val="en-US" w:eastAsia="zh-CN"/>
        </w:rPr>
        <w:t xml:space="preserve"> </w:t>
      </w:r>
      <w:r>
        <w:rPr>
          <w:rFonts w:hint="eastAsia" w:ascii="仿宋_GB2312" w:hAnsi="宋体" w:eastAsia="仿宋_GB2312"/>
          <w:sz w:val="32"/>
        </w:rPr>
        <w:t>签发人：</w:t>
      </w:r>
    </w:p>
    <w:p w14:paraId="131E7D32">
      <w:pPr>
        <w:spacing w:line="360" w:lineRule="auto"/>
        <w:jc w:val="center"/>
        <w:rPr>
          <w:b/>
          <w:bCs/>
          <w:color w:val="FF0000"/>
          <w:sz w:val="44"/>
          <w:szCs w:val="44"/>
        </w:rPr>
      </w:pPr>
      <w:r>
        <w:rPr>
          <w:b/>
          <w:bCs/>
          <w:color w:val="FF0000"/>
          <w:sz w:val="44"/>
          <w:szCs w:val="44"/>
        </w:rPr>
        <w:t>————————</w:t>
      </w:r>
      <w:r>
        <w:rPr>
          <w:rFonts w:hint="eastAsia"/>
          <w:color w:val="FF0000"/>
          <w:sz w:val="44"/>
          <w:szCs w:val="44"/>
        </w:rPr>
        <w:t xml:space="preserve"> </w:t>
      </w:r>
      <w:r>
        <w:rPr>
          <w:rFonts w:hint="eastAsia" w:ascii="宋体" w:hAnsi="宋体" w:cs="宋体"/>
          <w:color w:val="FF0000"/>
          <w:sz w:val="44"/>
          <w:szCs w:val="44"/>
        </w:rPr>
        <w:t>★</w:t>
      </w:r>
      <w:r>
        <w:rPr>
          <w:rFonts w:hint="eastAsia" w:ascii="宋体" w:hAnsi="宋体" w:cs="宋体"/>
          <w:b/>
          <w:bCs/>
          <w:color w:val="FF0000"/>
          <w:sz w:val="44"/>
          <w:szCs w:val="44"/>
        </w:rPr>
        <w:t xml:space="preserve"> </w:t>
      </w:r>
      <w:r>
        <w:rPr>
          <w:b/>
          <w:bCs/>
          <w:color w:val="FF0000"/>
          <w:sz w:val="44"/>
          <w:szCs w:val="44"/>
        </w:rPr>
        <w:t>————————</w:t>
      </w:r>
    </w:p>
    <w:p w14:paraId="71759952">
      <w:pPr>
        <w:bidi w:val="0"/>
        <w:jc w:val="center"/>
        <w:rPr>
          <w:rFonts w:hint="eastAsia" w:ascii="方正小标宋简体" w:hAnsi="方正小标宋简体" w:eastAsia="方正小标宋简体" w:cs="方正小标宋简体"/>
          <w:sz w:val="32"/>
          <w:szCs w:val="32"/>
          <w:lang w:eastAsia="zh-CN"/>
        </w:rPr>
      </w:pPr>
    </w:p>
    <w:p w14:paraId="18C76CF6">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红旗区</w:t>
      </w:r>
      <w:r>
        <w:rPr>
          <w:rFonts w:hint="eastAsia" w:ascii="方正小标宋简体" w:hAnsi="方正小标宋简体" w:eastAsia="方正小标宋简体" w:cs="方正小标宋简体"/>
          <w:sz w:val="44"/>
          <w:szCs w:val="44"/>
        </w:rPr>
        <w:t>2024—2026年农机购置与应用补贴实施</w:t>
      </w:r>
      <w:r>
        <w:rPr>
          <w:rFonts w:hint="eastAsia" w:ascii="方正小标宋简体" w:hAnsi="方正小标宋简体" w:eastAsia="方正小标宋简体" w:cs="方正小标宋简体"/>
          <w:sz w:val="44"/>
          <w:szCs w:val="44"/>
          <w:lang w:eastAsia="zh-CN"/>
        </w:rPr>
        <w:t>方案</w:t>
      </w:r>
    </w:p>
    <w:p w14:paraId="62779661">
      <w:pPr>
        <w:pStyle w:val="4"/>
        <w:keepNext w:val="0"/>
        <w:keepLines w:val="0"/>
        <w:pageBreakBefore w:val="0"/>
        <w:widowControl w:val="0"/>
        <w:kinsoku/>
        <w:wordWrap/>
        <w:overflowPunct/>
        <w:topLinePunct w:val="0"/>
        <w:autoSpaceDE w:val="0"/>
        <w:autoSpaceDN w:val="0"/>
        <w:bidi w:val="0"/>
        <w:adjustRightInd/>
        <w:snapToGrid/>
        <w:spacing w:before="65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14:paraId="59E1ADAA">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lang w:val="en"/>
        </w:rPr>
        <w:t>。</w:t>
      </w:r>
    </w:p>
    <w:p w14:paraId="21EA9110">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14:paraId="7E7E671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108" w:rightChars="0" w:firstLine="767" w:firstLineChars="200"/>
        <w:jc w:val="both"/>
        <w:textAlignment w:val="auto"/>
        <w:rPr>
          <w:rFonts w:hint="eastAsia" w:ascii="仿宋_GB2312" w:hAnsi="仿宋_GB2312" w:eastAsia="仿宋_GB2312" w:cs="仿宋_GB2312"/>
          <w:sz w:val="32"/>
          <w:szCs w:val="32"/>
          <w:lang w:val="en"/>
        </w:rPr>
      </w:pPr>
      <w:r>
        <w:rPr>
          <w:rFonts w:hint="eastAsia" w:ascii="CESI楷体-GB2312" w:hAnsi="CESI楷体-GB2312" w:eastAsia="CESI楷体-GB2312" w:cs="CESI楷体-GB2312"/>
          <w:b/>
          <w:spacing w:val="31"/>
          <w:sz w:val="32"/>
          <w:szCs w:val="32"/>
          <w:lang w:val="en"/>
        </w:rPr>
        <w:t>（一）在支持重点方面着力突出稳产保供。</w:t>
      </w:r>
      <w:r>
        <w:rPr>
          <w:rFonts w:hint="eastAsia" w:ascii="仿宋_GB2312" w:hAnsi="仿宋_GB2312" w:eastAsia="仿宋_GB2312" w:cs="仿宋_GB2312"/>
          <w:sz w:val="32"/>
          <w:szCs w:val="32"/>
          <w:lang w:val="en"/>
        </w:rPr>
        <w:t>以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0171CF9E">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eastAsia" w:ascii="仿宋_GB2312" w:hAnsi="仿宋_GB2312" w:eastAsia="仿宋_GB2312" w:cs="仿宋_GB2312"/>
          <w:w w:val="80"/>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二</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val="en" w:eastAsia="zh-CN"/>
        </w:rPr>
        <w:t>。</w:t>
      </w:r>
      <w:r>
        <w:rPr>
          <w:rFonts w:hint="eastAsia" w:ascii="仿宋_GB2312" w:hAnsi="仿宋_GB2312" w:eastAsia="仿宋_GB2312" w:cs="仿宋_GB2312"/>
          <w:b w:val="0"/>
          <w:bCs/>
          <w:spacing w:val="20"/>
          <w:w w:val="80"/>
          <w:sz w:val="32"/>
          <w:szCs w:val="32"/>
          <w:lang w:val="en" w:eastAsia="zh-CN"/>
        </w:rPr>
        <w:t>依据市</w:t>
      </w:r>
      <w:r>
        <w:rPr>
          <w:rFonts w:hint="eastAsia" w:ascii="仿宋_GB2312" w:hAnsi="仿宋_GB2312" w:eastAsia="仿宋_GB2312" w:cs="仿宋_GB2312"/>
          <w:spacing w:val="29"/>
          <w:sz w:val="32"/>
          <w:szCs w:val="32"/>
          <w:lang w:val="en" w:eastAsia="zh-CN"/>
        </w:rPr>
        <w:t>级实施意见要求，结合我区农业生产</w:t>
      </w:r>
      <w:r>
        <w:rPr>
          <w:rFonts w:hint="eastAsia" w:ascii="仿宋_GB2312" w:hAnsi="仿宋_GB2312" w:eastAsia="仿宋_GB2312" w:cs="仿宋_GB2312"/>
          <w:spacing w:val="29"/>
          <w:sz w:val="32"/>
          <w:szCs w:val="32"/>
          <w:lang w:eastAsia="zh-CN"/>
        </w:rPr>
        <w:t>特点和农机化发展需求</w:t>
      </w:r>
      <w:r>
        <w:rPr>
          <w:rFonts w:hint="eastAsia" w:ascii="仿宋_GB2312" w:hAnsi="仿宋_GB2312" w:eastAsia="仿宋_GB2312" w:cs="仿宋_GB2312"/>
          <w:spacing w:val="29"/>
          <w:sz w:val="32"/>
          <w:szCs w:val="32"/>
          <w:lang w:val="en" w:eastAsia="zh-CN"/>
        </w:rPr>
        <w:t>，</w:t>
      </w:r>
      <w:r>
        <w:rPr>
          <w:rFonts w:hint="eastAsia" w:ascii="仿宋_GB2312" w:hAnsi="仿宋_GB2312" w:eastAsia="仿宋_GB2312" w:cs="仿宋_GB2312"/>
          <w:spacing w:val="29"/>
          <w:sz w:val="32"/>
          <w:szCs w:val="32"/>
          <w:lang w:eastAsia="zh-CN"/>
        </w:rPr>
        <w:t>实施</w:t>
      </w:r>
      <w:r>
        <w:rPr>
          <w:rFonts w:hint="eastAsia" w:ascii="仿宋_GB2312" w:hAnsi="仿宋_GB2312" w:eastAsia="仿宋_GB2312" w:cs="仿宋_GB2312"/>
          <w:spacing w:val="29"/>
          <w:sz w:val="32"/>
          <w:szCs w:val="32"/>
        </w:rPr>
        <w:t>差异化补贴</w:t>
      </w:r>
      <w:r>
        <w:rPr>
          <w:rFonts w:hint="eastAsia"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eastAsia" w:ascii="仿宋_GB2312" w:hAnsi="仿宋_GB2312" w:eastAsia="仿宋_GB2312" w:cs="仿宋_GB2312"/>
          <w:spacing w:val="22"/>
          <w:w w:val="95"/>
          <w:sz w:val="32"/>
          <w:szCs w:val="32"/>
          <w:lang w:val="en"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eastAsia" w:ascii="仿宋_GB2312" w:hAnsi="仿宋_GB2312" w:eastAsia="仿宋_GB2312" w:cs="仿宋_GB2312"/>
          <w:w w:val="80"/>
          <w:sz w:val="32"/>
          <w:szCs w:val="32"/>
          <w:lang w:val="en"/>
        </w:rPr>
        <w:t>。</w:t>
      </w:r>
    </w:p>
    <w:p w14:paraId="43867E07">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39"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41"/>
          <w:w w:val="125"/>
          <w:sz w:val="32"/>
          <w:szCs w:val="32"/>
          <w:highlight w:val="none"/>
          <w:lang w:val="en-US" w:eastAsia="zh-CN"/>
        </w:rPr>
        <w:t>三</w:t>
      </w: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有条件的乡镇开展农机研发制造推广应用一体化试点,加快先进适用短板创新机具研发制造、熟化定型和推广应用。</w:t>
      </w:r>
    </w:p>
    <w:p w14:paraId="721F9CA7">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9"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lang w:val="en"/>
        </w:rPr>
        <w:t>。</w:t>
      </w:r>
      <w:r>
        <w:rPr>
          <w:rFonts w:hint="eastAsia" w:ascii="仿宋_GB2312" w:hAnsi="仿宋_GB2312" w:eastAsia="仿宋_GB2312" w:cs="仿宋_GB2312"/>
          <w:kern w:val="0"/>
          <w:sz w:val="32"/>
          <w:szCs w:val="32"/>
          <w:lang w:val="en-US" w:eastAsia="zh-CN" w:bidi="ar-SA"/>
        </w:rPr>
        <w:t>运用全国农机作业指挥调度平台及省、市农机信息化平台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完善省、市、县三级监管机制</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val="en" w:eastAsia="zh-CN" w:bidi="ar-SA"/>
        </w:rPr>
        <w:t>。</w:t>
      </w:r>
    </w:p>
    <w:p w14:paraId="4547DF25">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7" w:firstLineChars="200"/>
        <w:jc w:val="both"/>
        <w:textAlignment w:val="auto"/>
        <w:rPr>
          <w:rFonts w:hint="default" w:ascii="仿宋_GB2312" w:hAnsi="仿宋_GB2312" w:eastAsia="仿宋_GB2312" w:cs="仿宋_GB2312"/>
          <w:spacing w:val="29"/>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lang w:val="en"/>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val="en" w:eastAsia="zh-CN" w:bidi="ar-SA"/>
        </w:rPr>
        <w:t>。</w:t>
      </w:r>
    </w:p>
    <w:p w14:paraId="417DF0C9">
      <w:pPr>
        <w:pStyle w:val="4"/>
        <w:keepNext w:val="0"/>
        <w:keepLines w:val="0"/>
        <w:pageBreakBefore w:val="0"/>
        <w:widowControl w:val="0"/>
        <w:kinsoku/>
        <w:wordWrap/>
        <w:overflowPunct/>
        <w:topLinePunct w:val="0"/>
        <w:autoSpaceDE w:val="0"/>
        <w:autoSpaceDN w:val="0"/>
        <w:bidi w:val="0"/>
        <w:adjustRightInd/>
        <w:snapToGrid/>
        <w:spacing w:before="3"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14:paraId="2F381276">
      <w:pPr>
        <w:pStyle w:val="7"/>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lang w:val="en"/>
        </w:rPr>
        <w:t>。</w:t>
      </w:r>
    </w:p>
    <w:p w14:paraId="085CB9E5">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农民（含同一户号内其他成员）年度内享受补贴购置农机具不超过一套（一台动力机械及两台配套农具），</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区农业种植</w:t>
      </w:r>
      <w:r>
        <w:rPr>
          <w:rFonts w:hint="eastAsia" w:ascii="仿宋_GB2312" w:hAnsi="仿宋_GB2312" w:eastAsia="仿宋_GB2312" w:cs="仿宋_GB2312"/>
          <w:color w:val="000000" w:themeColor="text1"/>
          <w:sz w:val="32"/>
          <w:szCs w:val="32"/>
          <w:u w:val="none" w:color="auto"/>
          <w14:textFill>
            <w14:solidFill>
              <w14:schemeClr w14:val="tx1"/>
            </w14:solidFill>
          </w14:textFill>
        </w:rPr>
        <w:t>企业</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或种粮大户</w:t>
      </w:r>
      <w:r>
        <w:rPr>
          <w:rFonts w:hint="eastAsia" w:ascii="仿宋_GB2312" w:hAnsi="仿宋_GB2312" w:eastAsia="仿宋_GB2312" w:cs="仿宋_GB2312"/>
          <w:color w:val="000000" w:themeColor="text1"/>
          <w:sz w:val="32"/>
          <w:szCs w:val="32"/>
          <w:u w:val="none" w:color="auto"/>
          <w14:textFill>
            <w14:solidFill>
              <w14:schemeClr w14:val="tx1"/>
            </w14:solidFill>
          </w14:textFill>
        </w:rPr>
        <w:t>年度内享受补贴购置农机具不超过两套，</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农机专业</w:t>
      </w:r>
      <w:r>
        <w:rPr>
          <w:rFonts w:hint="eastAsia" w:ascii="仿宋_GB2312" w:hAnsi="仿宋_GB2312" w:eastAsia="仿宋_GB2312" w:cs="仿宋_GB2312"/>
          <w:color w:val="000000" w:themeColor="text1"/>
          <w:sz w:val="32"/>
          <w:szCs w:val="32"/>
          <w:u w:val="none" w:color="auto"/>
          <w14:textFill>
            <w14:solidFill>
              <w14:schemeClr w14:val="tx1"/>
            </w14:solidFill>
          </w14:textFill>
        </w:rPr>
        <w:t>合作社年度内享受补贴购置农机具不超过三套。</w:t>
      </w:r>
    </w:p>
    <w:p w14:paraId="49723E59">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农机购置</w:t>
      </w:r>
      <w:r>
        <w:rPr>
          <w:rFonts w:hint="eastAsia" w:ascii="仿宋_GB2312" w:hAnsi="仿宋_GB2312" w:eastAsia="仿宋_GB2312" w:cs="仿宋_GB2312"/>
          <w:color w:val="000000" w:themeColor="text1"/>
          <w:sz w:val="32"/>
          <w:szCs w:val="32"/>
          <w:lang w:eastAsia="zh-CN"/>
          <w14:textFill>
            <w14:solidFill>
              <w14:schemeClr w14:val="tx1"/>
            </w14:solidFill>
          </w14:textFill>
        </w:rPr>
        <w:t>与应用</w:t>
      </w:r>
      <w:r>
        <w:rPr>
          <w:rFonts w:hint="eastAsia" w:ascii="仿宋_GB2312" w:hAnsi="仿宋_GB2312" w:eastAsia="仿宋_GB2312" w:cs="仿宋_GB2312"/>
          <w:color w:val="000000" w:themeColor="text1"/>
          <w:sz w:val="32"/>
          <w:szCs w:val="32"/>
          <w14:textFill>
            <w14:solidFill>
              <w14:schemeClr w14:val="tx1"/>
            </w14:solidFill>
          </w14:textFill>
        </w:rPr>
        <w:t>补贴政策继续覆盖全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所有</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
          <w14:textFill>
            <w14:solidFill>
              <w14:schemeClr w14:val="tx1"/>
            </w14:solidFill>
          </w14:textFill>
        </w:rPr>
        <w:t>。</w:t>
      </w:r>
    </w:p>
    <w:p w14:paraId="0A89A12F">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补贴对象应到乡镇农</w:t>
      </w:r>
      <w:r>
        <w:rPr>
          <w:rFonts w:hint="eastAsia" w:ascii="仿宋_GB2312" w:hAnsi="仿宋_GB2312" w:eastAsia="仿宋_GB2312" w:cs="仿宋_GB2312"/>
          <w:color w:val="000000" w:themeColor="text1"/>
          <w:sz w:val="32"/>
          <w:szCs w:val="32"/>
          <w:lang w:eastAsia="zh-CN"/>
          <w14:textFill>
            <w14:solidFill>
              <w14:schemeClr w14:val="tx1"/>
            </w14:solidFill>
          </w14:textFill>
        </w:rPr>
        <w:t>机</w:t>
      </w:r>
      <w:r>
        <w:rPr>
          <w:rFonts w:hint="eastAsia" w:ascii="仿宋_GB2312" w:hAnsi="仿宋_GB2312" w:eastAsia="仿宋_GB2312" w:cs="仿宋_GB2312"/>
          <w:color w:val="000000" w:themeColor="text1"/>
          <w:sz w:val="32"/>
          <w:szCs w:val="32"/>
          <w14:textFill>
            <w14:solidFill>
              <w14:schemeClr w14:val="tx1"/>
            </w14:solidFill>
          </w14:textFill>
        </w:rPr>
        <w:t>主管部门办理所有补贴手续。</w:t>
      </w:r>
    </w:p>
    <w:p w14:paraId="6065C738">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财政供养人员不得申请农机补贴。</w:t>
      </w:r>
    </w:p>
    <w:p w14:paraId="4D55F5A8">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补贴对象可自主选择补贴产品经销企业购机，也可通过企业直销等方式购机。按照权责一致原则，补贴对象应对自主购机行为和购买机具的真实性负责，承担相应风险。</w:t>
      </w:r>
    </w:p>
    <w:p w14:paraId="65193350">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补贴产品经销企业由农机生产企业自主确定并向社会公布。已列入</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农机补贴</w:t>
      </w:r>
      <w:r>
        <w:rPr>
          <w:rFonts w:hint="eastAsia" w:ascii="仿宋_GB2312" w:hAnsi="仿宋_GB2312" w:eastAsia="仿宋_GB2312" w:cs="仿宋_GB2312"/>
          <w:color w:val="000000" w:themeColor="text1"/>
          <w:sz w:val="32"/>
          <w:szCs w:val="32"/>
          <w:u w:val="none" w:color="auto"/>
          <w14:textFill>
            <w14:solidFill>
              <w14:schemeClr w14:val="tx1"/>
            </w14:solidFill>
          </w14:textFill>
        </w:rPr>
        <w:t>黑名单的经销企业和个人不允许参与补贴活动，所销售产品不能享受农机购置补贴政策。农机生产企业应对其确定的补贴产品经销企业的经销行为承担相应的责任。</w:t>
      </w:r>
    </w:p>
    <w:p w14:paraId="139B5D1D">
      <w:pPr>
        <w:spacing w:line="360" w:lineRule="auto"/>
        <w:ind w:firstLine="640" w:firstLineChars="200"/>
        <w:jc w:val="both"/>
        <w:rPr>
          <w:rFonts w:hint="default" w:ascii="仿宋_GB2312" w:hAnsi="仿宋_GB2312" w:eastAsia="仿宋_GB2312" w:cs="仿宋_GB2312"/>
          <w:w w:val="80"/>
          <w:sz w:val="32"/>
          <w:szCs w:val="32"/>
          <w:lang w:val="en"/>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另行下达</w:t>
      </w:r>
      <w:r>
        <w:rPr>
          <w:rFonts w:hint="eastAsia" w:ascii="仿宋" w:hAnsi="仿宋" w:eastAsia="仿宋"/>
          <w:color w:val="auto"/>
          <w:sz w:val="32"/>
          <w:szCs w:val="32"/>
          <w:lang w:eastAsia="zh-CN"/>
        </w:rPr>
        <w:t>）</w:t>
      </w:r>
      <w:r>
        <w:rPr>
          <w:rFonts w:hint="eastAsia" w:ascii="仿宋" w:hAnsi="仿宋" w:eastAsia="仿宋"/>
          <w:sz w:val="32"/>
          <w:szCs w:val="32"/>
        </w:rPr>
        <w:t>执行</w:t>
      </w:r>
      <w:r>
        <w:rPr>
          <w:rFonts w:hint="default" w:ascii="仿宋" w:hAnsi="仿宋" w:eastAsia="仿宋"/>
          <w:sz w:val="32"/>
          <w:szCs w:val="32"/>
          <w:lang w:val="en" w:eastAsia="zh-CN"/>
        </w:rPr>
        <w:t>。</w:t>
      </w:r>
      <w:r>
        <w:rPr>
          <w:rFonts w:hint="eastAsia" w:ascii="仿宋" w:hAnsi="仿宋" w:eastAsia="仿宋" w:cs="仿宋_GB2312"/>
          <w:color w:val="auto"/>
          <w:sz w:val="32"/>
          <w:szCs w:val="32"/>
        </w:rPr>
        <w:t>补贴</w:t>
      </w:r>
      <w:r>
        <w:rPr>
          <w:rFonts w:hint="eastAsia" w:ascii="仿宋" w:hAnsi="仿宋" w:eastAsia="仿宋" w:cs="仿宋_GB2312"/>
          <w:color w:val="auto"/>
          <w:sz w:val="32"/>
          <w:szCs w:val="32"/>
          <w:lang w:eastAsia="zh-CN"/>
        </w:rPr>
        <w:t>额</w:t>
      </w:r>
      <w:r>
        <w:rPr>
          <w:rFonts w:hint="eastAsia" w:ascii="仿宋" w:hAnsi="仿宋" w:eastAsia="仿宋" w:cs="仿宋_GB2312"/>
          <w:color w:val="auto"/>
          <w:sz w:val="32"/>
          <w:szCs w:val="32"/>
        </w:rPr>
        <w:t>将保持总体稳定</w:t>
      </w:r>
      <w:r>
        <w:rPr>
          <w:rFonts w:hint="default" w:ascii="仿宋_GB2312" w:hAnsi="仿宋_GB2312" w:eastAsia="仿宋_GB2312" w:cs="仿宋_GB2312"/>
          <w:color w:val="auto"/>
          <w:spacing w:val="19"/>
          <w:sz w:val="32"/>
          <w:szCs w:val="32"/>
          <w:lang w:val="en"/>
        </w:rPr>
        <w:t>，</w:t>
      </w:r>
      <w:r>
        <w:rPr>
          <w:rFonts w:hint="eastAsia" w:ascii="仿宋_GB2312" w:hAnsi="仿宋_GB2312" w:eastAsia="仿宋_GB2312" w:cs="仿宋_GB2312"/>
          <w:color w:val="auto"/>
          <w:spacing w:val="19"/>
          <w:sz w:val="32"/>
          <w:szCs w:val="32"/>
        </w:rPr>
        <w:t>具体产品或具体档次的</w:t>
      </w:r>
      <w:r>
        <w:rPr>
          <w:rFonts w:hint="eastAsia" w:ascii="仿宋_GB2312" w:hAnsi="仿宋_GB2312" w:eastAsia="仿宋_GB2312" w:cs="仿宋_GB2312"/>
          <w:color w:val="auto"/>
          <w:spacing w:val="19"/>
          <w:sz w:val="32"/>
          <w:szCs w:val="32"/>
          <w:lang w:val="en-US" w:eastAsia="zh-CN"/>
        </w:rPr>
        <w:t>实际</w:t>
      </w:r>
      <w:r>
        <w:rPr>
          <w:rFonts w:hint="eastAsia" w:ascii="仿宋_GB2312" w:hAnsi="仿宋_GB2312" w:eastAsia="仿宋_GB2312" w:cs="仿宋_GB2312"/>
          <w:color w:val="auto"/>
          <w:spacing w:val="16"/>
          <w:sz w:val="32"/>
          <w:szCs w:val="32"/>
        </w:rPr>
        <w:t>补贴比例在</w:t>
      </w:r>
      <w:r>
        <w:rPr>
          <w:rFonts w:hint="eastAsia" w:ascii="仿宋_GB2312" w:hAnsi="仿宋_GB2312" w:eastAsia="仿宋_GB2312" w:cs="仿宋_GB2312"/>
          <w:color w:val="auto"/>
          <w:spacing w:val="16"/>
          <w:sz w:val="32"/>
          <w:szCs w:val="32"/>
          <w:lang w:val="en-US" w:eastAsia="zh-CN"/>
        </w:rPr>
        <w:t>测算比例</w:t>
      </w:r>
      <w:r>
        <w:rPr>
          <w:rFonts w:hint="eastAsia" w:ascii="仿宋_GB2312" w:hAnsi="仿宋_GB2312" w:eastAsia="仿宋_GB2312" w:cs="仿宋_GB2312"/>
          <w:color w:val="auto"/>
          <w:spacing w:val="16"/>
          <w:sz w:val="32"/>
          <w:szCs w:val="32"/>
        </w:rPr>
        <w:t>上下一定范围内浮动符合政策规</w:t>
      </w:r>
      <w:r>
        <w:rPr>
          <w:rFonts w:hint="eastAsia" w:ascii="仿宋_GB2312" w:hAnsi="仿宋_GB2312" w:eastAsia="仿宋_GB2312" w:cs="仿宋_GB2312"/>
          <w:color w:val="auto"/>
          <w:spacing w:val="19"/>
          <w:sz w:val="32"/>
          <w:szCs w:val="32"/>
        </w:rPr>
        <w:t>定</w:t>
      </w:r>
      <w:r>
        <w:rPr>
          <w:rFonts w:hint="default" w:ascii="仿宋_GB2312" w:hAnsi="仿宋_GB2312" w:eastAsia="仿宋_GB2312" w:cs="仿宋_GB2312"/>
          <w:color w:val="auto"/>
          <w:spacing w:val="19"/>
          <w:sz w:val="32"/>
          <w:szCs w:val="32"/>
          <w:lang w:val="en" w:eastAsia="zh-CN"/>
        </w:rPr>
        <w:t>。</w:t>
      </w:r>
      <w:r>
        <w:rPr>
          <w:rFonts w:hint="eastAsia" w:ascii="仿宋_GB2312" w:hAnsi="仿宋_GB2312" w:eastAsia="仿宋_GB2312" w:cs="仿宋_GB2312"/>
          <w:color w:val="auto"/>
          <w:spacing w:val="25"/>
          <w:sz w:val="32"/>
          <w:szCs w:val="32"/>
        </w:rPr>
        <w:t>在政策实施过程中发现具体</w:t>
      </w:r>
      <w:r>
        <w:rPr>
          <w:rFonts w:hint="eastAsia" w:ascii="仿宋_GB2312" w:hAnsi="仿宋_GB2312" w:eastAsia="仿宋_GB2312" w:cs="仿宋_GB2312"/>
          <w:color w:val="auto"/>
          <w:spacing w:val="18"/>
          <w:sz w:val="32"/>
          <w:szCs w:val="32"/>
        </w:rPr>
        <w:t>产品或档次的实际补贴比例超过</w:t>
      </w:r>
      <w:r>
        <w:rPr>
          <w:rFonts w:hint="eastAsia" w:ascii="仿宋_GB2312" w:hAnsi="仿宋_GB2312" w:eastAsia="仿宋_GB2312" w:cs="仿宋_GB2312"/>
          <w:color w:val="auto"/>
          <w:spacing w:val="18"/>
          <w:sz w:val="32"/>
          <w:szCs w:val="32"/>
          <w:lang w:val="en-US" w:eastAsia="zh-CN"/>
        </w:rPr>
        <w:t>测算比例15</w:t>
      </w:r>
      <w:r>
        <w:rPr>
          <w:rFonts w:hint="eastAsia" w:ascii="仿宋_GB2312" w:hAnsi="仿宋_GB2312" w:eastAsia="仿宋_GB2312" w:cs="仿宋_GB2312"/>
          <w:color w:val="auto"/>
          <w:spacing w:val="15"/>
          <w:sz w:val="32"/>
          <w:szCs w:val="32"/>
        </w:rPr>
        <w:t>个百</w:t>
      </w:r>
      <w:r>
        <w:rPr>
          <w:rFonts w:hint="eastAsia" w:ascii="仿宋_GB2312" w:hAnsi="仿宋_GB2312" w:eastAsia="仿宋_GB2312" w:cs="仿宋_GB2312"/>
          <w:color w:val="auto"/>
          <w:sz w:val="32"/>
          <w:szCs w:val="32"/>
        </w:rPr>
        <w:t>分点以上的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会同财政部门应结合实际情况及时组织调查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并将调查情况及时报送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color w:val="auto"/>
          <w:sz w:val="32"/>
          <w:szCs w:val="32"/>
        </w:rPr>
        <w:t>对有违规情节的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按相关规定处理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对无违规情节的补贴申请</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可按原规定兑付补贴资金</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并组织对相关产品及其所属档次补贴额进行评估</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视情况</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调整</w:t>
      </w:r>
      <w:r>
        <w:rPr>
          <w:rFonts w:hint="default" w:ascii="仿宋_GB2312" w:hAnsi="仿宋_GB2312" w:eastAsia="仿宋_GB2312" w:cs="仿宋_GB2312"/>
          <w:color w:val="auto"/>
          <w:w w:val="80"/>
          <w:sz w:val="32"/>
          <w:szCs w:val="32"/>
          <w:lang w:val="en"/>
        </w:rPr>
        <w:t>。</w:t>
      </w:r>
      <w:r>
        <w:rPr>
          <w:rFonts w:hint="eastAsia" w:ascii="仿宋_GB2312" w:hAnsi="仿宋_GB2312" w:eastAsia="仿宋_GB2312" w:cs="仿宋_GB2312"/>
          <w:sz w:val="32"/>
          <w:szCs w:val="32"/>
        </w:rPr>
        <w:t>发现同档次同品质的大多数产品价格总体下降幅度较大的</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综合研判后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lang w:val="en-US" w:eastAsia="zh-CN"/>
        </w:rPr>
        <w:t>处理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如发现劣质产品以低价扰乱市场秩序的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要严肃查处</w:t>
      </w:r>
      <w:r>
        <w:rPr>
          <w:rFonts w:hint="default" w:ascii="仿宋_GB2312" w:hAnsi="仿宋_GB2312" w:eastAsia="仿宋_GB2312" w:cs="仿宋_GB2312"/>
          <w:w w:val="80"/>
          <w:sz w:val="32"/>
          <w:szCs w:val="32"/>
          <w:lang w:val="en"/>
        </w:rPr>
        <w:t>。</w:t>
      </w:r>
    </w:p>
    <w:p w14:paraId="555EED03">
      <w:pPr>
        <w:spacing w:line="360" w:lineRule="auto"/>
        <w:ind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原则本区不实施累加补贴。确需累加补贴的须由农业农村部门、财政部门联合逐级上报农业农村部、财政部备案后实施。</w:t>
      </w:r>
    </w:p>
    <w:p w14:paraId="6170AC06">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14:paraId="06E22F0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14:paraId="2A9FF9A0">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0" w:firstLineChars="200"/>
        <w:jc w:val="both"/>
        <w:textAlignment w:val="auto"/>
        <w:rPr>
          <w:rFonts w:hint="default" w:ascii="CESI仿宋-GB2312" w:hAnsi="CESI仿宋-GB2312" w:eastAsia="CESI仿宋-GB2312" w:cs="CESI仿宋-GB2312"/>
          <w:b w:val="0"/>
          <w:bCs w:val="0"/>
          <w:sz w:val="32"/>
          <w:szCs w:val="32"/>
          <w:lang w:val="en" w:eastAsia="zh-CN"/>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lang w:eastAsia="zh-CN"/>
        </w:rPr>
        <w:t>将</w:t>
      </w:r>
      <w:r>
        <w:rPr>
          <w:rFonts w:hint="eastAsia" w:ascii="CESI仿宋-GB2312" w:hAnsi="CESI仿宋-GB2312" w:eastAsia="CESI仿宋-GB2312" w:cs="CESI仿宋-GB2312"/>
          <w:b w:val="0"/>
          <w:bCs w:val="0"/>
          <w:sz w:val="32"/>
          <w:szCs w:val="32"/>
          <w:lang w:val="en-US" w:eastAsia="zh-CN"/>
        </w:rPr>
        <w:t>全省</w:t>
      </w:r>
      <w:r>
        <w:rPr>
          <w:rFonts w:hint="eastAsia" w:ascii="CESI仿宋-GB2312" w:hAnsi="CESI仿宋-GB2312" w:eastAsia="CESI仿宋-GB2312" w:cs="CESI仿宋-GB2312"/>
          <w:b w:val="0"/>
          <w:bCs w:val="0"/>
          <w:sz w:val="32"/>
          <w:szCs w:val="32"/>
        </w:rPr>
        <w:t>补贴范围内</w:t>
      </w:r>
      <w:r>
        <w:rPr>
          <w:rFonts w:hint="eastAsia" w:ascii="CESI仿宋-GB2312" w:hAnsi="CESI仿宋-GB2312" w:eastAsia="CESI仿宋-GB2312" w:cs="CESI仿宋-GB2312"/>
          <w:b w:val="0"/>
          <w:bCs w:val="0"/>
          <w:sz w:val="32"/>
          <w:szCs w:val="32"/>
          <w:lang w:eastAsia="zh-CN"/>
        </w:rPr>
        <w:t>的</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48</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w:t>
      </w:r>
      <w:r>
        <w:rPr>
          <w:rFonts w:hint="eastAsia" w:ascii="CESI仿宋-GB2312" w:hAnsi="CESI仿宋-GB2312" w:eastAsia="CESI仿宋-GB2312" w:cs="CESI仿宋-GB2312"/>
          <w:b w:val="0"/>
          <w:bCs w:val="0"/>
          <w:sz w:val="32"/>
          <w:szCs w:val="32"/>
          <w:lang w:eastAsia="zh-CN"/>
        </w:rPr>
        <w:t>我区</w:t>
      </w:r>
      <w:r>
        <w:rPr>
          <w:rFonts w:hint="eastAsia" w:ascii="CESI仿宋-GB2312" w:hAnsi="CESI仿宋-GB2312" w:eastAsia="CESI仿宋-GB2312" w:cs="CESI仿宋-GB2312"/>
          <w:b w:val="0"/>
          <w:bCs w:val="0"/>
          <w:sz w:val="32"/>
          <w:szCs w:val="32"/>
        </w:rPr>
        <w:t>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val="en" w:eastAsia="zh-CN"/>
        </w:rPr>
        <w:t>。</w:t>
      </w:r>
    </w:p>
    <w:p w14:paraId="74E38995">
      <w:pPr>
        <w:adjustRightInd w:val="0"/>
        <w:snapToGrid w:val="0"/>
        <w:spacing w:line="360" w:lineRule="auto"/>
        <w:ind w:firstLine="640" w:firstLineChars="200"/>
        <w:rPr>
          <w:rFonts w:hint="eastAsia" w:ascii="仿宋" w:hAnsi="仿宋" w:eastAsia="仿宋" w:cs="仿宋_GB2312"/>
          <w:sz w:val="32"/>
          <w:szCs w:val="32"/>
        </w:rPr>
      </w:pPr>
      <w:r>
        <w:rPr>
          <w:rFonts w:hint="eastAsia" w:ascii="仿宋" w:hAnsi="仿宋" w:eastAsia="仿宋" w:cs="宋体"/>
          <w:kern w:val="0"/>
          <w:sz w:val="32"/>
          <w:szCs w:val="32"/>
        </w:rPr>
        <w:t>根据农业生产需要和资金供需实际，按照公开、公平、公正原则，实行补贴范围内机具敞开补贴。</w:t>
      </w:r>
      <w:r>
        <w:rPr>
          <w:rFonts w:ascii="仿宋" w:hAnsi="仿宋" w:eastAsia="仿宋" w:cs="仿宋_GB2312"/>
          <w:sz w:val="32"/>
          <w:szCs w:val="32"/>
        </w:rPr>
        <w:t>优先保障粮食</w:t>
      </w:r>
      <w:r>
        <w:rPr>
          <w:rFonts w:hint="eastAsia" w:ascii="仿宋" w:hAnsi="仿宋" w:eastAsia="仿宋" w:cs="仿宋_GB2312"/>
          <w:sz w:val="32"/>
          <w:szCs w:val="32"/>
        </w:rPr>
        <w:t>、</w:t>
      </w:r>
      <w:r>
        <w:rPr>
          <w:rFonts w:hint="eastAsia" w:ascii="仿宋" w:hAnsi="仿宋" w:eastAsia="仿宋" w:cs="仿宋_GB2312"/>
          <w:sz w:val="32"/>
          <w:szCs w:val="32"/>
          <w:lang w:eastAsia="zh-CN"/>
        </w:rPr>
        <w:t>生产加工</w:t>
      </w:r>
      <w:r>
        <w:rPr>
          <w:rFonts w:ascii="仿宋" w:hAnsi="仿宋" w:eastAsia="仿宋" w:cs="仿宋_GB2312"/>
          <w:sz w:val="32"/>
          <w:szCs w:val="32"/>
        </w:rPr>
        <w:t>等生产</w:t>
      </w:r>
      <w:r>
        <w:rPr>
          <w:rFonts w:hint="eastAsia" w:ascii="仿宋" w:hAnsi="仿宋" w:eastAsia="仿宋" w:cs="仿宋_GB2312"/>
          <w:sz w:val="32"/>
          <w:szCs w:val="32"/>
        </w:rPr>
        <w:t>以及</w:t>
      </w:r>
      <w:r>
        <w:rPr>
          <w:rFonts w:ascii="仿宋" w:hAnsi="仿宋" w:eastAsia="仿宋" w:cs="仿宋_GB2312"/>
          <w:sz w:val="32"/>
          <w:szCs w:val="32"/>
        </w:rPr>
        <w:t>支持农业绿色发展和数字化发展</w:t>
      </w:r>
      <w:r>
        <w:rPr>
          <w:rFonts w:hint="eastAsia" w:ascii="仿宋" w:hAnsi="仿宋" w:eastAsia="仿宋" w:cs="仿宋_GB2312"/>
          <w:sz w:val="32"/>
          <w:szCs w:val="32"/>
        </w:rPr>
        <w:t>所需</w:t>
      </w:r>
      <w:r>
        <w:rPr>
          <w:rFonts w:ascii="仿宋" w:hAnsi="仿宋" w:eastAsia="仿宋" w:cs="仿宋_GB2312"/>
          <w:sz w:val="32"/>
          <w:szCs w:val="32"/>
        </w:rPr>
        <w:t>机具的补贴需要</w:t>
      </w:r>
      <w:r>
        <w:rPr>
          <w:rFonts w:hint="eastAsia" w:ascii="仿宋" w:hAnsi="仿宋" w:eastAsia="仿宋" w:cs="仿宋_GB2312"/>
          <w:sz w:val="32"/>
          <w:szCs w:val="32"/>
        </w:rPr>
        <w:t>，将更多符合条件的</w:t>
      </w:r>
      <w:r>
        <w:rPr>
          <w:rFonts w:ascii="仿宋" w:hAnsi="仿宋" w:eastAsia="仿宋" w:cs="仿宋_GB2312"/>
          <w:sz w:val="32"/>
          <w:szCs w:val="32"/>
        </w:rPr>
        <w:t>高端、复式、智能</w:t>
      </w:r>
      <w:r>
        <w:rPr>
          <w:rFonts w:hint="eastAsia" w:ascii="仿宋" w:hAnsi="仿宋" w:eastAsia="仿宋" w:cs="仿宋_GB2312"/>
          <w:sz w:val="32"/>
          <w:szCs w:val="32"/>
        </w:rPr>
        <w:t>产品纳入补贴范围。</w:t>
      </w:r>
    </w:p>
    <w:p w14:paraId="5A3EE3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14:paraId="5AA5F654">
      <w:pPr>
        <w:pStyle w:val="4"/>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640" w:firstLineChars="200"/>
        <w:jc w:val="both"/>
        <w:textAlignment w:val="auto"/>
        <w:rPr>
          <w:rFonts w:hint="default" w:ascii="仿宋_GB2312" w:hAnsi="仿宋_GB2312" w:eastAsia="仿宋_GB2312" w:cs="仿宋_GB2312"/>
          <w:color w:val="auto"/>
          <w:spacing w:val="47"/>
          <w:w w:val="80"/>
          <w:sz w:val="32"/>
          <w:szCs w:val="32"/>
          <w:lang w:val="en"/>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val="en"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lang w:val="en"/>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lang w:val="en"/>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lang w:val="en"/>
        </w:rPr>
        <w:t>。</w:t>
      </w:r>
    </w:p>
    <w:p w14:paraId="325095F1">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textAlignment w:val="auto"/>
        <w:rPr>
          <w:rFonts w:hint="default" w:ascii="仿宋_GB2312" w:hAnsi="仿宋_GB2312" w:eastAsia="仿宋_GB2312" w:cs="仿宋_GB2312"/>
          <w:color w:val="FF0000"/>
          <w:spacing w:val="47"/>
          <w:w w:val="80"/>
          <w:sz w:val="32"/>
          <w:szCs w:val="32"/>
          <w:lang w:val="en"/>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val="en" w:eastAsia="zh-CN"/>
        </w:rPr>
        <w:t>。</w:t>
      </w:r>
    </w:p>
    <w:p w14:paraId="5B034E03">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资金使用和</w:t>
      </w:r>
      <w:r>
        <w:rPr>
          <w:rFonts w:hint="eastAsia" w:ascii="CESI黑体-GB2312" w:hAnsi="CESI黑体-GB2312" w:eastAsia="CESI黑体-GB2312" w:cs="CESI黑体-GB2312"/>
          <w:color w:val="auto"/>
          <w:sz w:val="32"/>
          <w:szCs w:val="32"/>
          <w:lang w:val="en-US" w:eastAsia="zh-CN"/>
        </w:rPr>
        <w:t>管理</w:t>
      </w:r>
    </w:p>
    <w:p w14:paraId="2F2EC7B6">
      <w:pPr>
        <w:adjustRightInd w:val="0"/>
        <w:snapToGrid w:val="0"/>
        <w:spacing w:line="360" w:lineRule="auto"/>
        <w:ind w:firstLine="755"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lang w:val="en"/>
        </w:rPr>
        <w:t>。</w:t>
      </w:r>
    </w:p>
    <w:p w14:paraId="1C7CA8AF">
      <w:pPr>
        <w:pStyle w:val="4"/>
        <w:keepNext w:val="0"/>
        <w:keepLines w:val="0"/>
        <w:pageBreakBefore w:val="0"/>
        <w:widowControl w:val="0"/>
        <w:kinsoku/>
        <w:wordWrap/>
        <w:overflowPunct/>
        <w:topLinePunct w:val="0"/>
        <w:autoSpaceDE w:val="0"/>
        <w:autoSpaceDN w:val="0"/>
        <w:bidi w:val="0"/>
        <w:adjustRightInd/>
        <w:snapToGrid/>
        <w:spacing w:before="8" w:line="360" w:lineRule="auto"/>
        <w:ind w:left="0" w:leftChars="0" w:right="108" w:firstLine="755" w:firstLineChars="200"/>
        <w:jc w:val="both"/>
        <w:textAlignment w:val="auto"/>
        <w:rPr>
          <w:rFonts w:hint="default" w:ascii="仿宋_GB2312" w:hAnsi="仿宋_GB2312" w:eastAsia="仿宋_GB2312" w:cs="仿宋_GB2312"/>
          <w:color w:val="000000" w:themeColor="text1"/>
          <w:sz w:val="32"/>
          <w:szCs w:val="32"/>
          <w:lang w:val="en"/>
          <w14:textFill>
            <w14:solidFill>
              <w14:schemeClr w14:val="tx1"/>
            </w14:solidFill>
          </w14:textFill>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val="en" w:eastAsia="zh-CN" w:bidi="ar-SA"/>
        </w:rPr>
        <w:t>。</w:t>
      </w:r>
      <w:r>
        <w:rPr>
          <w:rFonts w:hint="eastAsia" w:ascii="仿宋_GB2312" w:hAnsi="仿宋_GB2312" w:eastAsia="仿宋_GB2312" w:cs="仿宋_GB2312"/>
          <w:spacing w:val="10"/>
          <w:sz w:val="32"/>
          <w:szCs w:val="32"/>
          <w:lang w:val="en-US" w:eastAsia="zh-CN"/>
        </w:rPr>
        <w:t>区</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lang w:val="en"/>
        </w:rPr>
        <w:t>。</w:t>
      </w:r>
      <w:r>
        <w:rPr>
          <w:rFonts w:hint="eastAsia" w:ascii="仿宋_GB2312" w:hAnsi="仿宋_GB2312" w:eastAsia="仿宋_GB2312" w:cs="仿宋_GB2312"/>
          <w:color w:val="000000" w:themeColor="text1"/>
          <w:spacing w:val="10"/>
          <w:sz w:val="32"/>
          <w:szCs w:val="32"/>
          <w:lang w:val="en" w:eastAsia="zh-CN"/>
          <w14:textFill>
            <w14:solidFill>
              <w14:schemeClr w14:val="tx1"/>
            </w14:solidFill>
          </w14:textFill>
        </w:rPr>
        <w:t>区级</w:t>
      </w:r>
      <w:r>
        <w:rPr>
          <w:rFonts w:hint="eastAsia" w:ascii="仿宋_GB2312" w:hAnsi="仿宋_GB2312" w:eastAsia="仿宋_GB2312" w:cs="仿宋_GB2312"/>
          <w:color w:val="000000" w:themeColor="text1"/>
          <w:spacing w:val="10"/>
          <w:sz w:val="32"/>
          <w:szCs w:val="32"/>
          <w:lang w:val="en-US" w:eastAsia="zh-CN"/>
          <w14:textFill>
            <w14:solidFill>
              <w14:schemeClr w14:val="tx1"/>
            </w14:solidFill>
          </w14:textFill>
        </w:rPr>
        <w:t>财政部门要会同农业农村部门</w:t>
      </w:r>
      <w:r>
        <w:rPr>
          <w:rFonts w:hint="eastAsia" w:ascii="仿宋_GB2312" w:hAnsi="仿宋_GB2312" w:eastAsia="仿宋_GB2312" w:cs="仿宋_GB2312"/>
          <w:color w:val="000000" w:themeColor="text1"/>
          <w:spacing w:val="10"/>
          <w:sz w:val="32"/>
          <w:szCs w:val="32"/>
          <w14:textFill>
            <w14:solidFill>
              <w14:schemeClr w14:val="tx1"/>
            </w14:solidFill>
          </w14:textFill>
        </w:rPr>
        <w:t>加强资金使用情况监测</w:t>
      </w:r>
      <w:r>
        <w:rPr>
          <w:rFonts w:hint="default" w:ascii="仿宋_GB2312" w:hAnsi="仿宋_GB2312" w:eastAsia="仿宋_GB2312" w:cs="仿宋_GB2312"/>
          <w:color w:val="000000" w:themeColor="text1"/>
          <w:spacing w:val="10"/>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10"/>
          <w:sz w:val="32"/>
          <w:szCs w:val="32"/>
          <w:lang w:val="en" w:eastAsia="zh-CN"/>
          <w14:textFill>
            <w14:solidFill>
              <w14:schemeClr w14:val="tx1"/>
            </w14:solidFill>
          </w14:textFill>
        </w:rPr>
        <w:t>定期</w:t>
      </w:r>
      <w:r>
        <w:rPr>
          <w:rFonts w:hint="eastAsia" w:ascii="仿宋_GB2312" w:hAnsi="仿宋_GB2312" w:eastAsia="仿宋_GB2312" w:cs="仿宋_GB2312"/>
          <w:color w:val="000000" w:themeColor="text1"/>
          <w:spacing w:val="10"/>
          <w:sz w:val="32"/>
          <w:szCs w:val="32"/>
          <w14:textFill>
            <w14:solidFill>
              <w14:schemeClr w14:val="tx1"/>
            </w14:solidFill>
          </w14:textFill>
        </w:rPr>
        <w:t>通报资金使用进</w:t>
      </w:r>
      <w:r>
        <w:rPr>
          <w:rFonts w:hint="eastAsia" w:ascii="仿宋_GB2312" w:hAnsi="仿宋_GB2312" w:eastAsia="仿宋_GB2312" w:cs="仿宋_GB2312"/>
          <w:color w:val="000000" w:themeColor="text1"/>
          <w:spacing w:val="8"/>
          <w:sz w:val="32"/>
          <w:szCs w:val="32"/>
          <w14:textFill>
            <w14:solidFill>
              <w14:schemeClr w14:val="tx1"/>
            </w14:solidFill>
          </w14:textFill>
        </w:rPr>
        <w:t>度</w:t>
      </w:r>
      <w:r>
        <w:rPr>
          <w:rFonts w:hint="default" w:ascii="仿宋_GB2312" w:hAnsi="仿宋_GB2312" w:eastAsia="仿宋_GB2312" w:cs="仿宋_GB2312"/>
          <w:color w:val="000000" w:themeColor="text1"/>
          <w:spacing w:val="8"/>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8"/>
          <w:sz w:val="32"/>
          <w:szCs w:val="32"/>
          <w14:textFill>
            <w14:solidFill>
              <w14:schemeClr w14:val="tx1"/>
            </w14:solidFill>
          </w14:textFill>
        </w:rPr>
        <w:t>优先使用结转资金</w:t>
      </w:r>
      <w:r>
        <w:rPr>
          <w:rFonts w:hint="eastAsia" w:ascii="仿宋_GB2312" w:hAnsi="仿宋_GB2312" w:eastAsia="仿宋_GB2312" w:cs="仿宋_GB2312"/>
          <w:color w:val="000000" w:themeColor="text1"/>
          <w:spacing w:val="7"/>
          <w:sz w:val="32"/>
          <w:szCs w:val="32"/>
          <w:lang w:val="en" w:eastAsia="zh-CN"/>
          <w14:textFill>
            <w14:solidFill>
              <w14:schemeClr w14:val="tx1"/>
            </w14:solidFill>
          </w14:textFill>
        </w:rPr>
        <w:t>。区财政</w:t>
      </w:r>
      <w:r>
        <w:rPr>
          <w:rFonts w:hint="eastAsia" w:ascii="仿宋_GB2312" w:hAnsi="仿宋_GB2312" w:eastAsia="仿宋_GB2312" w:cs="仿宋_GB2312"/>
          <w:spacing w:val="7"/>
          <w:sz w:val="32"/>
          <w:szCs w:val="32"/>
          <w:lang w:val="en" w:eastAsia="zh-CN"/>
        </w:rPr>
        <w:t>部门要根据预算管理规定和用款需求，合理安排补贴资金支出进度。</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将</w:t>
      </w:r>
      <w:r>
        <w:rPr>
          <w:rFonts w:hint="eastAsia" w:ascii="仿宋_GB2312" w:hAnsi="仿宋_GB2312" w:eastAsia="仿宋_GB2312" w:cs="仿宋_GB2312"/>
          <w:color w:val="000000" w:themeColor="text1"/>
          <w:spacing w:val="-3"/>
          <w:sz w:val="32"/>
          <w:szCs w:val="32"/>
          <w14:textFill>
            <w14:solidFill>
              <w14:schemeClr w14:val="tx1"/>
            </w14:solidFill>
          </w14:textFill>
        </w:rPr>
        <w:t>保障补贴工作实施必要的组织管理经费</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纳入预算</w:t>
      </w:r>
      <w:r>
        <w:rPr>
          <w:rFonts w:hint="default" w:ascii="仿宋_GB2312" w:hAnsi="仿宋_GB2312" w:eastAsia="仿宋_GB2312" w:cs="仿宋_GB2312"/>
          <w:color w:val="000000" w:themeColor="text1"/>
          <w:spacing w:val="-3"/>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14:textFill>
            <w14:solidFill>
              <w14:schemeClr w14:val="tx1"/>
            </w14:solidFill>
          </w14:textFill>
        </w:rPr>
        <w:t>包括政策实施</w:t>
      </w:r>
      <w:r>
        <w:rPr>
          <w:rFonts w:hint="eastAsia" w:ascii="仿宋_GB2312" w:hAnsi="仿宋_GB2312" w:eastAsia="仿宋_GB2312" w:cs="仿宋_GB2312"/>
          <w:color w:val="000000" w:themeColor="text1"/>
          <w:spacing w:val="3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30"/>
          <w:sz w:val="32"/>
          <w:szCs w:val="32"/>
          <w14:textFill>
            <w14:solidFill>
              <w14:schemeClr w14:val="tx1"/>
            </w14:solidFill>
          </w14:textFill>
        </w:rPr>
        <w:t>绩效考核、机具核验、信息化建设、第三方抽查核验等工作经费</w:t>
      </w:r>
      <w:r>
        <w:rPr>
          <w:rFonts w:hint="eastAsia" w:ascii="仿宋_GB2312" w:hAnsi="仿宋_GB2312" w:eastAsia="仿宋_GB2312" w:cs="仿宋_GB2312"/>
          <w:color w:val="000000" w:themeColor="text1"/>
          <w:spacing w:val="30"/>
          <w:sz w:val="32"/>
          <w:szCs w:val="32"/>
          <w:lang w:eastAsia="zh-CN"/>
          <w14:textFill>
            <w14:solidFill>
              <w14:schemeClr w14:val="tx1"/>
            </w14:solidFill>
          </w14:textFill>
        </w:rPr>
        <w:t>。</w:t>
      </w:r>
    </w:p>
    <w:p w14:paraId="39C0B6C6">
      <w:pPr>
        <w:pStyle w:val="4"/>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操作实施流程</w:t>
      </w:r>
    </w:p>
    <w:p w14:paraId="3D01A6E3">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08" w:firstLineChars="200"/>
        <w:jc w:val="both"/>
        <w:textAlignment w:val="auto"/>
        <w:rPr>
          <w:rFonts w:hint="default"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农机购置与应用补贴政策实行</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w w:val="95"/>
          <w:sz w:val="32"/>
          <w:szCs w:val="32"/>
          <w14:textFill>
            <w14:solidFill>
              <w14:schemeClr w14:val="tx1"/>
            </w14:solidFill>
          </w14:textFill>
        </w:rPr>
        <w:t>自主购机</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w w:val="95"/>
          <w:sz w:val="32"/>
          <w:szCs w:val="32"/>
          <w14:textFill>
            <w14:solidFill>
              <w14:schemeClr w14:val="tx1"/>
            </w14:solidFill>
          </w14:textFill>
        </w:rPr>
        <w:t>定额补贴</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w w:val="95"/>
          <w:sz w:val="32"/>
          <w:szCs w:val="32"/>
          <w14:textFill>
            <w14:solidFill>
              <w14:schemeClr w14:val="tx1"/>
            </w14:solidFill>
          </w14:textFill>
        </w:rPr>
        <w:t>先购后</w:t>
      </w:r>
      <w:r>
        <w:rPr>
          <w:rFonts w:hint="eastAsia" w:ascii="仿宋_GB2312" w:hAnsi="仿宋_GB2312" w:eastAsia="仿宋_GB2312" w:cs="仿宋_GB2312"/>
          <w:color w:val="000000" w:themeColor="text1"/>
          <w:sz w:val="32"/>
          <w:szCs w:val="32"/>
          <w14:textFill>
            <w14:solidFill>
              <w14:schemeClr w14:val="tx1"/>
            </w14:solidFill>
          </w14:textFill>
        </w:rPr>
        <w:t>补</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县级结算</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直补到卡( 户)</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default" w:ascii="仿宋_GB2312" w:hAnsi="仿宋_GB2312" w:eastAsia="仿宋_GB2312" w:cs="仿宋_GB2312"/>
          <w:color w:val="000000" w:themeColor="text1"/>
          <w:w w:val="80"/>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购机行为完成后</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购机者自主向</w:t>
      </w: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各乡镇农业主管部门</w:t>
      </w:r>
      <w:r>
        <w:rPr>
          <w:rFonts w:hint="eastAsia" w:ascii="仿宋_GB2312" w:hAnsi="仿宋_GB2312" w:eastAsia="仿宋_GB2312" w:cs="仿宋_GB2312"/>
          <w:color w:val="000000" w:themeColor="text1"/>
          <w:sz w:val="32"/>
          <w:szCs w:val="32"/>
          <w14:textFill>
            <w14:solidFill>
              <w14:schemeClr w14:val="tx1"/>
            </w14:solidFill>
          </w14:textFill>
        </w:rPr>
        <w:t>提出补贴资金申领事项</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签署告知承诺书</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承诺购买行为</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发票购机价格等信息真实有效</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按相关规定申办补贴</w:t>
      </w:r>
      <w:r>
        <w:rPr>
          <w:rFonts w:hint="default" w:ascii="仿宋_GB2312" w:hAnsi="仿宋_GB2312" w:eastAsia="仿宋_GB2312" w:cs="仿宋_GB2312"/>
          <w:color w:val="000000" w:themeColor="text1"/>
          <w:w w:val="80"/>
          <w:sz w:val="32"/>
          <w:szCs w:val="32"/>
          <w:lang w:val="en"/>
          <w14:textFill>
            <w14:solidFill>
              <w14:schemeClr w14:val="tx1"/>
            </w14:solidFill>
          </w14:textFill>
        </w:rPr>
        <w:t>。</w:t>
      </w:r>
    </w:p>
    <w:p w14:paraId="7292764C">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3" w:firstLineChars="200"/>
        <w:jc w:val="both"/>
        <w:textAlignment w:val="auto"/>
        <w:rPr>
          <w:rFonts w:hint="default" w:ascii="仿宋_GB2312" w:hAnsi="仿宋_GB2312" w:eastAsia="仿宋_GB2312" w:cs="仿宋_GB2312"/>
          <w:w w:val="80"/>
          <w:sz w:val="32"/>
          <w:szCs w:val="32"/>
          <w:lang w:val="en"/>
        </w:rPr>
      </w:pPr>
      <w:r>
        <w:rPr>
          <w:rFonts w:hint="eastAsia" w:ascii="CESI楷体-GB2312" w:hAnsi="CESI楷体-GB2312" w:eastAsia="CESI楷体-GB2312" w:cs="CESI楷体-GB2312"/>
          <w:b/>
          <w:bCs/>
          <w:sz w:val="32"/>
          <w:szCs w:val="32"/>
          <w:lang w:val="en" w:eastAsia="zh-CN"/>
        </w:rPr>
        <w:t>(一)发布实施规定</w:t>
      </w:r>
      <w:r>
        <w:rPr>
          <w:rFonts w:hint="default" w:ascii="CESI楷体-GB2312" w:hAnsi="CESI楷体-GB2312" w:eastAsia="CESI楷体-GB2312" w:cs="CESI楷体-GB2312"/>
          <w:b/>
          <w:bCs/>
          <w:sz w:val="32"/>
          <w:szCs w:val="32"/>
          <w:lang w:val="en" w:eastAsia="zh-CN"/>
        </w:rPr>
        <w:t>。</w:t>
      </w:r>
      <w:r>
        <w:rPr>
          <w:rFonts w:hint="eastAsia" w:ascii="仿宋_GB2312" w:hAnsi="仿宋_GB2312" w:eastAsia="仿宋_GB2312" w:cs="仿宋_GB2312"/>
          <w:spacing w:val="7"/>
          <w:sz w:val="32"/>
          <w:szCs w:val="32"/>
          <w:lang w:eastAsia="zh-CN"/>
        </w:rPr>
        <w:t>区</w:t>
      </w:r>
      <w:r>
        <w:rPr>
          <w:rFonts w:hint="eastAsia" w:ascii="CESI仿宋-GB2312" w:hAnsi="CESI仿宋-GB2312" w:eastAsia="CESI仿宋-GB2312" w:cs="CESI仿宋-GB2312"/>
          <w:b w:val="0"/>
          <w:bCs/>
          <w:spacing w:val="26"/>
          <w:sz w:val="32"/>
          <w:szCs w:val="32"/>
        </w:rPr>
        <w:t>农业农村</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咨询投诉举报电话等信息</w:t>
      </w:r>
      <w:r>
        <w:rPr>
          <w:rFonts w:hint="default" w:ascii="仿宋_GB2312" w:hAnsi="仿宋_GB2312" w:eastAsia="仿宋_GB2312" w:cs="仿宋_GB2312"/>
          <w:w w:val="80"/>
          <w:sz w:val="32"/>
          <w:szCs w:val="32"/>
          <w:lang w:val="en"/>
        </w:rPr>
        <w:t>。</w:t>
      </w:r>
    </w:p>
    <w:p w14:paraId="79619953">
      <w:pPr>
        <w:adjustRightInd w:val="0"/>
        <w:snapToGrid w:val="0"/>
        <w:spacing w:line="360" w:lineRule="auto"/>
        <w:ind w:firstLine="759" w:firstLineChars="200"/>
        <w:rPr>
          <w:rFonts w:hint="default" w:ascii="仿宋_GB2312" w:hAnsi="仿宋_GB2312" w:eastAsia="仿宋_GB2312" w:cs="仿宋_GB2312"/>
          <w:color w:val="000000" w:themeColor="text1"/>
          <w:spacing w:val="30"/>
          <w:sz w:val="32"/>
          <w:szCs w:val="32"/>
          <w:lang w:val="en"/>
          <w14:textFill>
            <w14:solidFill>
              <w14:schemeClr w14:val="tx1"/>
            </w14:solidFill>
          </w14:textFill>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lang w:val="en"/>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color w:val="000000" w:themeColor="text1"/>
          <w:spacing w:val="30"/>
          <w:sz w:val="32"/>
          <w:szCs w:val="32"/>
          <w14:textFill>
            <w14:solidFill>
              <w14:schemeClr w14:val="tx1"/>
            </w14:solidFill>
          </w14:textFill>
        </w:rPr>
        <w:t>原则上购机价格在5000元以上的鼓励非现金方式支付购机款</w:t>
      </w:r>
      <w:r>
        <w:rPr>
          <w:rFonts w:hint="default" w:ascii="仿宋_GB2312" w:hAnsi="仿宋_GB2312" w:eastAsia="仿宋_GB2312" w:cs="仿宋_GB2312"/>
          <w:color w:val="000000" w:themeColor="text1"/>
          <w:spacing w:val="30"/>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14:textFill>
            <w14:solidFill>
              <w14:schemeClr w14:val="tx1"/>
            </w14:solidFill>
          </w14:textFill>
        </w:rPr>
        <w:t>并对交易行为真实性</w:t>
      </w:r>
      <w:r>
        <w:rPr>
          <w:rFonts w:hint="eastAsia" w:ascii="仿宋_GB2312" w:hAnsi="仿宋_GB2312" w:eastAsia="仿宋_GB2312" w:cs="仿宋_GB2312"/>
          <w:color w:val="000000" w:themeColor="text1"/>
          <w:spacing w:val="3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30"/>
          <w:sz w:val="32"/>
          <w:szCs w:val="32"/>
          <w14:textFill>
            <w14:solidFill>
              <w14:schemeClr w14:val="tx1"/>
            </w14:solidFill>
          </w14:textFill>
        </w:rPr>
        <w:t>有效性和可能发生的纠纷承担法律责任</w:t>
      </w:r>
      <w:r>
        <w:rPr>
          <w:rFonts w:hint="default" w:ascii="仿宋_GB2312" w:hAnsi="仿宋_GB2312" w:eastAsia="仿宋_GB2312" w:cs="仿宋_GB2312"/>
          <w:color w:val="000000" w:themeColor="text1"/>
          <w:spacing w:val="30"/>
          <w:sz w:val="32"/>
          <w:szCs w:val="32"/>
          <w:lang w:val="en"/>
          <w14:textFill>
            <w14:solidFill>
              <w14:schemeClr w14:val="tx1"/>
            </w14:solidFill>
          </w14:textFill>
        </w:rPr>
        <w:t>。</w:t>
      </w:r>
    </w:p>
    <w:p w14:paraId="116237D1">
      <w:pPr>
        <w:adjustRightInd w:val="0"/>
        <w:snapToGrid w:val="0"/>
        <w:spacing w:line="360" w:lineRule="auto"/>
        <w:ind w:firstLine="647" w:firstLineChars="200"/>
        <w:rPr>
          <w:rFonts w:hint="eastAsia" w:ascii="仿宋" w:hAnsi="仿宋" w:eastAsia="仿宋" w:cs="仿宋"/>
          <w:color w:val="auto"/>
          <w:kern w:val="0"/>
          <w:sz w:val="32"/>
          <w:szCs w:val="32"/>
          <w:u w:val="none" w:color="auto"/>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lang w:val="en"/>
        </w:rPr>
        <w:t>。</w:t>
      </w:r>
      <w:r>
        <w:rPr>
          <w:rFonts w:hint="eastAsia" w:ascii="仿宋_GB2312" w:hAnsi="仿宋_GB2312" w:eastAsia="仿宋_GB2312" w:cs="仿宋_GB2312"/>
          <w:spacing w:val="30"/>
          <w:sz w:val="32"/>
          <w:szCs w:val="32"/>
        </w:rPr>
        <w:t>农业农村部门在收到购机者完成签字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lang w:val="en"/>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可结合实际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根据农机购置与应用补贴资金申请数量设置购机者年度内享受补贴资金总额的上限及其申请条件等</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color w:val="000000" w:themeColor="text1"/>
          <w:spacing w:val="18"/>
          <w:sz w:val="32"/>
          <w:szCs w:val="32"/>
          <w14:textFill>
            <w14:solidFill>
              <w14:schemeClr w14:val="tx1"/>
            </w14:solidFill>
          </w14:textFill>
        </w:rPr>
        <w:t>农业农村部门全面实行办理服务系统常</w:t>
      </w:r>
      <w:r>
        <w:rPr>
          <w:rFonts w:hint="eastAsia" w:ascii="仿宋_GB2312" w:hAnsi="仿宋_GB2312" w:eastAsia="仿宋_GB2312" w:cs="仿宋_GB2312"/>
          <w:color w:val="000000" w:themeColor="text1"/>
          <w:sz w:val="32"/>
          <w:szCs w:val="32"/>
          <w14:textFill>
            <w14:solidFill>
              <w14:schemeClr w14:val="tx1"/>
            </w14:solidFill>
          </w14:textFill>
        </w:rPr>
        <w:t>年连续开放</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推广使用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手机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APP等</w:t>
      </w:r>
      <w:r>
        <w:rPr>
          <w:rFonts w:hint="eastAsia" w:ascii="仿宋_GB2312" w:hAnsi="仿宋_GB2312" w:eastAsia="仿宋_GB2312" w:cs="仿宋_GB2312"/>
          <w:color w:val="000000" w:themeColor="text1"/>
          <w:sz w:val="32"/>
          <w:szCs w:val="32"/>
          <w14:textFill>
            <w14:solidFill>
              <w14:schemeClr w14:val="tx1"/>
            </w14:solidFill>
          </w14:textFill>
        </w:rPr>
        <w:t>信息化技术</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方便购机者随时在线录入补贴申请信息</w:t>
      </w:r>
      <w:r>
        <w:rPr>
          <w:rFonts w:hint="default" w:ascii="仿宋_GB2312" w:hAnsi="仿宋_GB2312" w:eastAsia="仿宋_GB2312" w:cs="仿宋_GB2312"/>
          <w:color w:val="000000" w:themeColor="text1"/>
          <w:w w:val="80"/>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引导购机者在录入信息后</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及时向</w:t>
      </w:r>
      <w:r>
        <w:rPr>
          <w:rFonts w:hint="eastAsia" w:ascii="仿宋" w:hAnsi="仿宋" w:eastAsia="仿宋" w:cs="仿宋"/>
          <w:color w:val="auto"/>
          <w:kern w:val="2"/>
          <w:sz w:val="32"/>
          <w:szCs w:val="32"/>
        </w:rPr>
        <w:t>乡</w:t>
      </w:r>
      <w:r>
        <w:rPr>
          <w:rFonts w:hint="eastAsia" w:ascii="仿宋" w:hAnsi="仿宋" w:eastAsia="仿宋" w:cs="仿宋"/>
          <w:color w:val="auto"/>
          <w:kern w:val="2"/>
          <w:sz w:val="32"/>
          <w:szCs w:val="32"/>
          <w:lang w:eastAsia="zh-CN"/>
        </w:rPr>
        <w:t>镇</w:t>
      </w:r>
      <w:r>
        <w:rPr>
          <w:rFonts w:hint="eastAsia" w:ascii="仿宋" w:hAnsi="仿宋" w:eastAsia="仿宋" w:cs="仿宋"/>
          <w:color w:val="auto"/>
          <w:kern w:val="2"/>
          <w:sz w:val="32"/>
          <w:szCs w:val="32"/>
        </w:rPr>
        <w:t>农机管理</w:t>
      </w:r>
      <w:r>
        <w:rPr>
          <w:rFonts w:hint="eastAsia" w:ascii="仿宋" w:hAnsi="仿宋" w:eastAsia="仿宋" w:cs="仿宋"/>
          <w:color w:val="auto"/>
          <w:kern w:val="2"/>
          <w:sz w:val="32"/>
          <w:szCs w:val="32"/>
          <w:lang w:eastAsia="zh-CN"/>
        </w:rPr>
        <w:t>部门</w:t>
      </w:r>
      <w:r>
        <w:rPr>
          <w:rFonts w:hint="eastAsia" w:ascii="仿宋_GB2312" w:hAnsi="仿宋_GB2312" w:eastAsia="仿宋_GB2312" w:cs="仿宋_GB2312"/>
          <w:color w:val="000000" w:themeColor="text1"/>
          <w:sz w:val="32"/>
          <w:szCs w:val="32"/>
          <w14:textFill>
            <w14:solidFill>
              <w14:schemeClr w14:val="tx1"/>
            </w14:solidFill>
          </w14:textFill>
        </w:rPr>
        <w:t>提交补贴申请资料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 w:hAnsi="仿宋" w:eastAsia="仿宋" w:cs="仿宋"/>
          <w:color w:val="auto"/>
          <w:kern w:val="0"/>
          <w:sz w:val="32"/>
          <w:szCs w:val="32"/>
          <w:u w:val="none" w:color="auto"/>
        </w:rPr>
        <w:t>其真实性、完整性和有效性由购机者和补贴机具产销企业负责，并承担相关法律责任</w:t>
      </w:r>
      <w:r>
        <w:rPr>
          <w:rFonts w:hint="eastAsia" w:ascii="仿宋" w:hAnsi="仿宋" w:eastAsia="仿宋" w:cs="仿宋"/>
          <w:color w:val="auto"/>
          <w:kern w:val="0"/>
          <w:sz w:val="32"/>
          <w:szCs w:val="32"/>
          <w:u w:val="none" w:color="auto"/>
          <w:lang w:eastAsia="zh-CN"/>
        </w:rPr>
        <w:t>，</w:t>
      </w:r>
      <w:r>
        <w:rPr>
          <w:rFonts w:hint="eastAsia" w:ascii="仿宋" w:hAnsi="仿宋" w:eastAsia="仿宋" w:cs="仿宋"/>
          <w:color w:val="auto"/>
          <w:kern w:val="0"/>
          <w:sz w:val="32"/>
          <w:szCs w:val="32"/>
          <w:u w:val="none" w:color="auto"/>
        </w:rPr>
        <w:t>实行牌证管理的机具，先行办理牌证照。</w:t>
      </w:r>
    </w:p>
    <w:p w14:paraId="548884A9">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lang w:val="en"/>
        </w:rPr>
        <w:t>。</w:t>
      </w:r>
    </w:p>
    <w:p w14:paraId="58E620A6">
      <w:pPr>
        <w:numPr>
          <w:ilvl w:val="0"/>
          <w:numId w:val="0"/>
        </w:numPr>
        <w:spacing w:line="360" w:lineRule="auto"/>
        <w:ind w:firstLine="639" w:firstLineChars="200"/>
        <w:rPr>
          <w:rFonts w:hint="eastAsia" w:ascii="仿宋_GB2312" w:hAnsi="仿宋_GB2312" w:eastAsia="仿宋" w:cs="仿宋_GB2312"/>
          <w:b w:val="0"/>
          <w:bCs/>
          <w:color w:val="auto"/>
          <w:kern w:val="0"/>
          <w:sz w:val="32"/>
          <w:szCs w:val="32"/>
          <w:u w:val="none" w:color="auto"/>
          <w:lang w:eastAsia="zh-CN"/>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20"/>
          <w:sz w:val="32"/>
          <w:szCs w:val="32"/>
        </w:rPr>
        <w:t>鼓励基层农业农村部门探索多种核验方式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color w:val="000000" w:themeColor="text1"/>
          <w:sz w:val="32"/>
          <w:szCs w:val="32"/>
          <w14:textFill>
            <w14:solidFill>
              <w14:schemeClr w14:val="tx1"/>
            </w14:solidFill>
          </w14:textFill>
        </w:rPr>
        <w:t>对高风险机具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应逐台核验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对安装类</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设施类或安全风险较高类补贴机具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以及当地初次出现的高补贴额机具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在安装完成且生产应用一段时间后进行现场核验和补贴兑付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对其他机具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可结合实际</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确定抽查核验比例</w:t>
      </w:r>
      <w:r>
        <w:rPr>
          <w:rFonts w:hint="default" w:ascii="仿宋_GB2312" w:hAnsi="仿宋_GB2312" w:eastAsia="仿宋_GB2312" w:cs="仿宋_GB2312"/>
          <w:color w:val="000000" w:themeColor="text1"/>
          <w:w w:val="80"/>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对丘陵山区所用的量大面广的小型机具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可结合实际制定实施便利化可监测的核验方法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auto"/>
          <w:kern w:val="0"/>
          <w:sz w:val="32"/>
          <w:szCs w:val="32"/>
          <w:u w:val="none" w:color="auto"/>
          <w:lang w:eastAsia="zh-CN"/>
        </w:rPr>
        <w:t>为方便群众，减轻农民负担，机具核实原则上由农机部门牵头，财政、乡镇配合，共同核实，</w:t>
      </w:r>
      <w:r>
        <w:rPr>
          <w:rFonts w:hint="eastAsia" w:ascii="仿宋" w:hAnsi="仿宋" w:eastAsia="仿宋" w:cs="仿宋_GB2312"/>
          <w:color w:val="auto"/>
          <w:sz w:val="32"/>
          <w:szCs w:val="32"/>
        </w:rPr>
        <w:t>其中牌证管理机具</w:t>
      </w:r>
      <w:r>
        <w:rPr>
          <w:rFonts w:ascii="仿宋" w:hAnsi="仿宋" w:eastAsia="仿宋" w:cs="仿宋_GB2312"/>
          <w:color w:val="auto"/>
          <w:sz w:val="32"/>
          <w:szCs w:val="32"/>
        </w:rPr>
        <w:t>凭牌证</w:t>
      </w:r>
      <w:r>
        <w:rPr>
          <w:rFonts w:hint="eastAsia" w:ascii="仿宋" w:hAnsi="仿宋" w:eastAsia="仿宋" w:cs="仿宋_GB2312"/>
          <w:color w:val="auto"/>
          <w:sz w:val="32"/>
          <w:szCs w:val="32"/>
          <w:lang w:eastAsia="zh-CN"/>
        </w:rPr>
        <w:t>可</w:t>
      </w:r>
      <w:r>
        <w:rPr>
          <w:rFonts w:hint="eastAsia" w:ascii="仿宋" w:hAnsi="仿宋" w:eastAsia="仿宋" w:cs="仿宋_GB2312"/>
          <w:color w:val="auto"/>
          <w:sz w:val="32"/>
          <w:szCs w:val="32"/>
        </w:rPr>
        <w:t>免于现场实物核验</w:t>
      </w:r>
      <w:r>
        <w:rPr>
          <w:rFonts w:hint="eastAsia" w:ascii="仿宋" w:hAnsi="仿宋" w:eastAsia="仿宋" w:cs="仿宋_GB2312"/>
          <w:color w:val="auto"/>
          <w:sz w:val="32"/>
          <w:szCs w:val="32"/>
          <w:lang w:eastAsia="zh-CN"/>
        </w:rPr>
        <w:t>。</w:t>
      </w:r>
    </w:p>
    <w:p w14:paraId="5DA1B020">
      <w:pPr>
        <w:keepNext w:val="0"/>
        <w:keepLines w:val="0"/>
        <w:pageBreakBefore w:val="0"/>
        <w:widowControl w:val="0"/>
        <w:kinsoku/>
        <w:wordWrap/>
        <w:overflowPunct/>
        <w:topLinePunct w:val="0"/>
        <w:autoSpaceDE w:val="0"/>
        <w:autoSpaceDN w:val="0"/>
        <w:bidi w:val="0"/>
        <w:adjustRightInd/>
        <w:snapToGrid/>
        <w:spacing w:before="0" w:line="360" w:lineRule="auto"/>
        <w:ind w:right="0" w:firstLine="619" w:firstLineChars="200"/>
        <w:jc w:val="both"/>
        <w:textAlignment w:val="auto"/>
        <w:rPr>
          <w:rFonts w:hint="default" w:ascii="仿宋_GB2312" w:hAnsi="仿宋_GB2312" w:eastAsia="仿宋_GB2312" w:cs="仿宋_GB2312"/>
          <w:color w:val="000000" w:themeColor="text1"/>
          <w:spacing w:val="20"/>
          <w:sz w:val="32"/>
          <w:szCs w:val="32"/>
          <w:lang w:val="en"/>
          <w14:textFill>
            <w14:solidFill>
              <w14:schemeClr w14:val="tx1"/>
            </w14:solidFill>
          </w14:textFill>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lang w:val="en"/>
        </w:rPr>
        <w:t>。</w:t>
      </w:r>
      <w:r>
        <w:rPr>
          <w:rFonts w:hint="eastAsia" w:ascii="仿宋_GB2312" w:hAnsi="仿宋_GB2312" w:eastAsia="仿宋_GB2312" w:cs="仿宋_GB2312"/>
          <w:spacing w:val="20"/>
          <w:sz w:val="32"/>
          <w:szCs w:val="32"/>
          <w:lang w:eastAsia="zh-CN"/>
        </w:rPr>
        <w:t>区</w:t>
      </w:r>
      <w:r>
        <w:rPr>
          <w:rFonts w:hint="eastAsia" w:ascii="仿宋_GB2312" w:hAnsi="仿宋_GB2312" w:eastAsia="仿宋_GB2312" w:cs="仿宋_GB2312"/>
          <w:spacing w:val="20"/>
          <w:sz w:val="32"/>
          <w:szCs w:val="32"/>
        </w:rPr>
        <w:t>农业农村部门按照《农机购置补贴机具核验工作要点(试行) 》 等要求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部门对符合条件可以受理的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鼓励</w:t>
      </w:r>
      <w:r>
        <w:rPr>
          <w:rFonts w:hint="eastAsia" w:ascii="仿宋_GB2312" w:hAnsi="仿宋_GB2312" w:eastAsia="仿宋_GB2312" w:cs="仿宋_GB2312"/>
          <w:color w:val="000000" w:themeColor="text1"/>
          <w:spacing w:val="20"/>
          <w:sz w:val="32"/>
          <w:szCs w:val="32"/>
          <w14:textFill>
            <w14:solidFill>
              <w14:schemeClr w14:val="tx1"/>
            </w14:solidFill>
          </w14:textFill>
        </w:rPr>
        <w:t>在</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乡镇和</w:t>
      </w:r>
      <w:r>
        <w:rPr>
          <w:rFonts w:hint="eastAsia" w:ascii="仿宋_GB2312" w:hAnsi="仿宋_GB2312" w:eastAsia="仿宋_GB2312" w:cs="仿宋_GB2312"/>
          <w:color w:val="000000" w:themeColor="text1"/>
          <w:spacing w:val="20"/>
          <w:sz w:val="32"/>
          <w:szCs w:val="32"/>
          <w14:textFill>
            <w14:solidFill>
              <w14:schemeClr w14:val="tx1"/>
            </w14:solidFill>
          </w14:textFill>
        </w:rPr>
        <w:t>补贴申请点公示栏中同时公开公示信息</w:t>
      </w:r>
      <w:r>
        <w:rPr>
          <w:rFonts w:hint="default" w:ascii="仿宋_GB2312" w:hAnsi="仿宋_GB2312" w:eastAsia="仿宋_GB2312" w:cs="仿宋_GB2312"/>
          <w:color w:val="000000" w:themeColor="text1"/>
          <w:spacing w:val="20"/>
          <w:sz w:val="32"/>
          <w:szCs w:val="32"/>
          <w:lang w:val="en"/>
          <w14:textFill>
            <w14:solidFill>
              <w14:schemeClr w14:val="tx1"/>
            </w14:solidFill>
          </w14:textFill>
        </w:rPr>
        <w:t>。</w:t>
      </w:r>
    </w:p>
    <w:p w14:paraId="718BAD91">
      <w:pPr>
        <w:keepNext w:val="0"/>
        <w:keepLines w:val="0"/>
        <w:pageBreakBefore w:val="0"/>
        <w:widowControl w:val="0"/>
        <w:kinsoku/>
        <w:wordWrap/>
        <w:overflowPunct/>
        <w:topLinePunct w:val="0"/>
        <w:autoSpaceDE w:val="0"/>
        <w:autoSpaceDN w:val="0"/>
        <w:bidi w:val="0"/>
        <w:adjustRightInd/>
        <w:snapToGrid/>
        <w:spacing w:before="0" w:line="360" w:lineRule="auto"/>
        <w:ind w:right="0" w:firstLine="719" w:firstLineChars="200"/>
        <w:jc w:val="both"/>
        <w:textAlignment w:val="auto"/>
        <w:rPr>
          <w:rFonts w:hint="eastAsia" w:ascii="仿宋_GB2312" w:hAnsi="仿宋_GB2312" w:eastAsia="仿宋_GB2312" w:cs="仿宋_GB2312"/>
          <w:color w:val="auto"/>
          <w:spacing w:val="25"/>
          <w:sz w:val="32"/>
          <w:szCs w:val="32"/>
          <w:lang w:val="en" w:eastAsia="zh-CN"/>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lang w:val="en"/>
        </w:rPr>
        <w:t>。</w:t>
      </w:r>
      <w:r>
        <w:rPr>
          <w:rFonts w:hint="eastAsia" w:ascii="仿宋_GB2312" w:hAnsi="仿宋_GB2312" w:eastAsia="仿宋_GB2312" w:cs="仿宋_GB2312"/>
          <w:spacing w:val="20"/>
          <w:sz w:val="32"/>
          <w:szCs w:val="32"/>
          <w:lang w:val="en" w:eastAsia="zh-CN"/>
        </w:rPr>
        <w:t>农机购置补贴资金</w:t>
      </w:r>
      <w:r>
        <w:rPr>
          <w:rFonts w:hint="eastAsia" w:ascii="仿宋_GB2312" w:hAnsi="仿宋_GB2312" w:eastAsia="仿宋_GB2312" w:cs="仿宋_GB2312"/>
          <w:spacing w:val="20"/>
          <w:sz w:val="32"/>
          <w:szCs w:val="32"/>
          <w:lang w:val="en"/>
        </w:rPr>
        <w:t>按规定</w:t>
      </w:r>
      <w:r>
        <w:rPr>
          <w:rFonts w:hint="eastAsia" w:ascii="仿宋_GB2312" w:hAnsi="仿宋_GB2312" w:eastAsia="仿宋_GB2312" w:cs="仿宋_GB2312"/>
          <w:spacing w:val="20"/>
          <w:sz w:val="32"/>
          <w:szCs w:val="32"/>
          <w:lang w:val="en" w:eastAsia="zh-CN"/>
        </w:rPr>
        <w:t>纳入“一卡通”系统集中发放</w:t>
      </w:r>
      <w:r>
        <w:rPr>
          <w:rFonts w:hint="eastAsia"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 w:eastAsia="zh-CN"/>
        </w:rPr>
        <w:t>其中</w:t>
      </w:r>
      <w:r>
        <w:rPr>
          <w:rFonts w:hint="eastAsia" w:ascii="仿宋_GB2312" w:hAnsi="仿宋_GB2312" w:eastAsia="仿宋_GB2312" w:cs="仿宋_GB2312"/>
          <w:spacing w:val="20"/>
          <w:sz w:val="32"/>
          <w:szCs w:val="32"/>
          <w:lang w:val="en"/>
        </w:rPr>
        <w:t>发放给个人、家庭的补贴资金纳入“一卡通”系统发放，发放给农业生产经营组织</w:t>
      </w:r>
      <w:r>
        <w:rPr>
          <w:rFonts w:hint="eastAsia" w:ascii="仿宋_GB2312" w:hAnsi="仿宋_GB2312" w:eastAsia="仿宋_GB2312" w:cs="仿宋_GB2312"/>
          <w:spacing w:val="20"/>
          <w:sz w:val="32"/>
          <w:szCs w:val="32"/>
          <w:lang w:val="en" w:eastAsia="zh-CN"/>
        </w:rPr>
        <w:t>的补贴资金</w:t>
      </w:r>
      <w:r>
        <w:rPr>
          <w:rFonts w:hint="eastAsia" w:ascii="仿宋_GB2312" w:hAnsi="仿宋_GB2312" w:eastAsia="仿宋_GB2312" w:cs="仿宋_GB2312"/>
          <w:spacing w:val="20"/>
          <w:sz w:val="32"/>
          <w:szCs w:val="32"/>
          <w:lang w:val="en"/>
        </w:rPr>
        <w:t>按规定通过</w:t>
      </w:r>
      <w:r>
        <w:rPr>
          <w:rFonts w:hint="eastAsia" w:ascii="仿宋_GB2312" w:hAnsi="仿宋_GB2312" w:eastAsia="仿宋_GB2312" w:cs="仿宋_GB2312"/>
          <w:spacing w:val="20"/>
          <w:sz w:val="32"/>
          <w:szCs w:val="32"/>
          <w:lang w:val="en" w:eastAsia="zh-CN"/>
        </w:rPr>
        <w:t>国库集中支付方式向符合要求的购机者兑付</w:t>
      </w:r>
      <w:r>
        <w:rPr>
          <w:rFonts w:hint="eastAsia"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 w:eastAsia="zh-CN"/>
        </w:rPr>
        <w:t>区</w:t>
      </w:r>
      <w:r>
        <w:rPr>
          <w:rFonts w:hint="eastAsia" w:ascii="仿宋_GB2312" w:hAnsi="仿宋_GB2312" w:eastAsia="仿宋_GB2312" w:cs="仿宋_GB2312"/>
          <w:spacing w:val="20"/>
          <w:sz w:val="32"/>
          <w:szCs w:val="32"/>
        </w:rPr>
        <w:t>农业农村部门在公示完成后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向</w:t>
      </w:r>
      <w:r>
        <w:rPr>
          <w:rFonts w:hint="eastAsia" w:ascii="仿宋_GB2312" w:hAnsi="仿宋_GB2312" w:eastAsia="仿宋_GB2312" w:cs="仿宋_GB2312"/>
          <w:spacing w:val="20"/>
          <w:sz w:val="32"/>
          <w:szCs w:val="32"/>
          <w:lang w:eastAsia="zh-CN"/>
        </w:rPr>
        <w:t>区</w:t>
      </w:r>
      <w:r>
        <w:rPr>
          <w:rFonts w:hint="eastAsia" w:ascii="仿宋_GB2312" w:hAnsi="仿宋_GB2312" w:eastAsia="仿宋_GB2312" w:cs="仿宋_GB2312"/>
          <w:spacing w:val="20"/>
          <w:sz w:val="32"/>
          <w:szCs w:val="32"/>
        </w:rPr>
        <w:t>财政部门提交资金兑付申请与有关材料</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eastAsia="zh-CN"/>
        </w:rPr>
        <w:t>区</w:t>
      </w:r>
      <w:r>
        <w:rPr>
          <w:rFonts w:hint="eastAsia" w:ascii="仿宋_GB2312" w:hAnsi="仿宋_GB2312" w:eastAsia="仿宋_GB2312" w:cs="仿宋_GB2312"/>
          <w:spacing w:val="20"/>
          <w:sz w:val="32"/>
          <w:szCs w:val="32"/>
        </w:rPr>
        <w:t>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可在办理服务系统中进行预登记申请</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val="en" w:eastAsia="zh-CN"/>
        </w:rPr>
        <w:t>。</w:t>
      </w:r>
    </w:p>
    <w:p w14:paraId="262F3366">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7" w:firstLineChars="200"/>
        <w:jc w:val="both"/>
        <w:textAlignment w:val="auto"/>
        <w:rPr>
          <w:rFonts w:hint="default" w:ascii="仿宋_GB2312" w:hAnsi="仿宋_GB2312" w:eastAsia="仿宋_GB2312" w:cs="仿宋_GB2312"/>
          <w:spacing w:val="20"/>
          <w:sz w:val="32"/>
          <w:szCs w:val="32"/>
          <w:lang w:val="en"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七）</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pacing w:val="20"/>
          <w:sz w:val="32"/>
          <w:szCs w:val="32"/>
          <w:lang w:val="en" w:eastAsia="zh-CN" w:bidi="ar-SA"/>
        </w:rPr>
        <w:t>农业农村部门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val="en" w:eastAsia="zh-CN" w:bidi="ar-SA"/>
        </w:rPr>
        <w:t>委托符合条件的第三方</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或由专业农机人员和基层工作人员</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加强对高风险机具和成套设施装备等的抽查</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对发现的问题线索进行评估</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涉嫌违规的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应及时组织调查并按规定处理</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涉嫌犯罪的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要向司法机关移交严处</w:t>
      </w:r>
      <w:r>
        <w:rPr>
          <w:rFonts w:hint="default" w:ascii="仿宋_GB2312" w:hAnsi="仿宋_GB2312" w:eastAsia="仿宋_GB2312" w:cs="仿宋_GB2312"/>
          <w:spacing w:val="20"/>
          <w:sz w:val="32"/>
          <w:szCs w:val="32"/>
          <w:lang w:val="en" w:eastAsia="zh-CN" w:bidi="ar-SA"/>
        </w:rPr>
        <w:t>。</w:t>
      </w:r>
    </w:p>
    <w:p w14:paraId="26BC2E61">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jc w:val="both"/>
        <w:textAlignment w:val="auto"/>
        <w:rPr>
          <w:rFonts w:hint="default" w:ascii="仿宋_GB2312" w:hAnsi="仿宋_GB2312" w:eastAsia="仿宋_GB2312" w:cs="仿宋_GB2312"/>
          <w:sz w:val="32"/>
          <w:szCs w:val="32"/>
          <w:lang w:val="en"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可依法处置</w:t>
      </w:r>
      <w:r>
        <w:rPr>
          <w:rFonts w:hint="default" w:ascii="仿宋_GB2312" w:hAnsi="仿宋_GB2312" w:eastAsia="仿宋_GB2312" w:cs="仿宋_GB2312"/>
          <w:sz w:val="32"/>
          <w:szCs w:val="32"/>
          <w:lang w:val="en" w:eastAsia="en-US"/>
        </w:rPr>
        <w:t>。</w:t>
      </w:r>
    </w:p>
    <w:p w14:paraId="14D9BEA5">
      <w:pPr>
        <w:pStyle w:val="4"/>
        <w:keepNext w:val="0"/>
        <w:keepLines w:val="0"/>
        <w:pageBreakBefore w:val="0"/>
        <w:widowControl w:val="0"/>
        <w:kinsoku/>
        <w:wordWrap/>
        <w:overflowPunct/>
        <w:topLinePunct w:val="0"/>
        <w:autoSpaceDE w:val="0"/>
        <w:autoSpaceDN w:val="0"/>
        <w:bidi w:val="0"/>
        <w:adjustRightInd/>
        <w:snapToGrid/>
        <w:spacing w:before="21"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14:paraId="1E0F6EF5">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531" w:firstLineChars="200"/>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5"/>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5"/>
          <w:sz w:val="32"/>
          <w:szCs w:val="32"/>
        </w:rPr>
        <w:t>加强领导</w:t>
      </w:r>
      <w:r>
        <w:rPr>
          <w:rFonts w:hint="eastAsia" w:ascii="楷体_GB2312" w:hAnsi="楷体_GB2312" w:eastAsia="楷体_GB2312" w:cs="楷体_GB2312"/>
          <w:b/>
          <w:spacing w:val="27"/>
          <w:w w:val="105"/>
          <w:sz w:val="32"/>
          <w:szCs w:val="32"/>
          <w:lang w:eastAsia="zh-CN"/>
        </w:rPr>
        <w:t>，</w:t>
      </w:r>
      <w:r>
        <w:rPr>
          <w:rFonts w:hint="eastAsia" w:ascii="楷体_GB2312" w:hAnsi="楷体_GB2312" w:eastAsia="楷体_GB2312" w:cs="楷体_GB2312"/>
          <w:b/>
          <w:spacing w:val="29"/>
          <w:w w:val="105"/>
          <w:sz w:val="32"/>
          <w:szCs w:val="32"/>
        </w:rPr>
        <w:t>明确分工</w:t>
      </w:r>
      <w:r>
        <w:rPr>
          <w:rFonts w:hint="eastAsia" w:ascii="楷体_GB2312" w:hAnsi="楷体_GB2312" w:eastAsia="楷体_GB2312" w:cs="楷体_GB2312"/>
          <w:b/>
          <w:bCs/>
          <w:sz w:val="32"/>
          <w:szCs w:val="32"/>
          <w:lang w:val="en"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建设农业强省，区</w:t>
      </w:r>
      <w:r>
        <w:rPr>
          <w:rFonts w:hint="eastAsia" w:ascii="仿宋_GB2312" w:hAnsi="仿宋_GB2312" w:eastAsia="仿宋_GB2312" w:cs="仿宋_GB2312"/>
          <w:sz w:val="32"/>
          <w:szCs w:val="32"/>
        </w:rPr>
        <w:t>农业农村、财政部门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深入落实</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lang w:val="en"/>
        </w:rPr>
        <w:t>。</w:t>
      </w:r>
    </w:p>
    <w:p w14:paraId="70AAAC10">
      <w:pPr>
        <w:keepNext w:val="0"/>
        <w:keepLines w:val="0"/>
        <w:pageBreakBefore w:val="0"/>
        <w:widowControl w:val="0"/>
        <w:kinsoku/>
        <w:wordWrap/>
        <w:overflowPunct/>
        <w:topLinePunct w:val="0"/>
        <w:autoSpaceDE w:val="0"/>
        <w:autoSpaceDN w:val="0"/>
        <w:bidi w:val="0"/>
        <w:adjustRightInd/>
        <w:snapToGrid/>
        <w:spacing w:before="0" w:line="360" w:lineRule="auto"/>
        <w:ind w:right="0" w:firstLine="575"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5"/>
          <w:sz w:val="32"/>
          <w:szCs w:val="32"/>
        </w:rPr>
        <w:t>优化服务</w:t>
      </w:r>
      <w:r>
        <w:rPr>
          <w:rFonts w:hint="eastAsia" w:ascii="CESI楷体-GB2312" w:hAnsi="CESI楷体-GB2312" w:eastAsia="CESI楷体-GB2312" w:cs="CESI楷体-GB2312"/>
          <w:b/>
          <w:spacing w:val="19"/>
          <w:w w:val="105"/>
          <w:sz w:val="32"/>
          <w:szCs w:val="32"/>
          <w:lang w:eastAsia="zh-CN"/>
        </w:rPr>
        <w:t>，</w:t>
      </w:r>
      <w:r>
        <w:rPr>
          <w:rFonts w:hint="eastAsia" w:ascii="CESI楷体-GB2312" w:hAnsi="CESI楷体-GB2312" w:eastAsia="CESI楷体-GB2312" w:cs="CESI楷体-GB2312"/>
          <w:b/>
          <w:spacing w:val="25"/>
          <w:w w:val="105"/>
          <w:sz w:val="32"/>
          <w:szCs w:val="32"/>
        </w:rPr>
        <w:t>提升效能</w:t>
      </w:r>
      <w:r>
        <w:rPr>
          <w:rFonts w:hint="default" w:ascii="CESI楷体-GB2312" w:hAnsi="CESI楷体-GB2312" w:eastAsia="CESI楷体-GB2312" w:cs="CESI楷体-GB2312"/>
          <w:b/>
          <w:spacing w:val="-12"/>
          <w:w w:val="80"/>
          <w:sz w:val="32"/>
          <w:szCs w:val="32"/>
          <w:lang w:val="en"/>
        </w:rPr>
        <w:t>。</w:t>
      </w:r>
      <w:r>
        <w:rPr>
          <w:rFonts w:hint="eastAsia" w:ascii="仿宋_GB2312" w:hAnsi="仿宋_GB2312" w:eastAsia="仿宋_GB2312" w:cs="仿宋_GB2312"/>
          <w:b w:val="0"/>
          <w:bCs w:val="0"/>
          <w:sz w:val="32"/>
          <w:szCs w:val="32"/>
          <w:lang w:val="en-US" w:eastAsia="en-US" w:bidi="ar-SA"/>
        </w:rPr>
        <w:t>要依托农机购置与应用补贴申请办理服务系统</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动态分析基层农业农村和财政部门办理补贴申请具体时限</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val="en" w:eastAsia="zh-CN" w:bidi="ar-SA"/>
        </w:rPr>
        <w:t>。</w:t>
      </w:r>
    </w:p>
    <w:p w14:paraId="72460FA3">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9"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val="en"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val="en" w:eastAsia="en-US" w:bidi="ar-SA"/>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b w:val="0"/>
          <w:bCs w:val="0"/>
          <w:sz w:val="32"/>
          <w:szCs w:val="32"/>
          <w:lang w:val="en-US" w:eastAsia="zh-CN" w:bidi="ar-SA"/>
        </w:rPr>
        <w:t>农业农村部门要加大补贴政策宣传力度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val="en" w:eastAsia="zh-CN" w:bidi="ar-SA"/>
        </w:rPr>
        <w:t>。</w:t>
      </w:r>
    </w:p>
    <w:p w14:paraId="3F2141D3">
      <w:pPr>
        <w:keepNext w:val="0"/>
        <w:keepLines w:val="0"/>
        <w:pageBreakBefore w:val="0"/>
        <w:widowControl w:val="0"/>
        <w:kinsoku/>
        <w:wordWrap/>
        <w:overflowPunct/>
        <w:topLinePunct w:val="0"/>
        <w:autoSpaceDE w:val="0"/>
        <w:autoSpaceDN w:val="0"/>
        <w:bidi w:val="0"/>
        <w:adjustRightInd/>
        <w:snapToGrid/>
        <w:spacing w:before="0" w:line="360" w:lineRule="auto"/>
        <w:ind w:right="118" w:firstLine="643" w:firstLineChars="200"/>
        <w:jc w:val="both"/>
        <w:textAlignment w:val="auto"/>
        <w:rPr>
          <w:rFonts w:hint="default" w:ascii="仿宋_GB2312" w:hAnsi="仿宋_GB2312" w:eastAsia="仿宋_GB2312" w:cs="仿宋_GB2312"/>
          <w:color w:val="000000" w:themeColor="text1"/>
          <w:sz w:val="32"/>
          <w:szCs w:val="32"/>
          <w:lang w:val="en"/>
          <w14:textFill>
            <w14:solidFill>
              <w14:schemeClr w14:val="tx1"/>
            </w14:solidFill>
          </w14:textFill>
        </w:rPr>
      </w:pPr>
      <w:r>
        <w:rPr>
          <w:rFonts w:hint="eastAsia" w:ascii="CESI楷体-GB2312" w:hAnsi="CESI楷体-GB2312" w:eastAsia="CESI楷体-GB2312" w:cs="CESI楷体-GB2312"/>
          <w:b/>
          <w:bCs/>
          <w:color w:val="auto"/>
          <w:sz w:val="32"/>
          <w:szCs w:val="32"/>
          <w:lang w:eastAsia="zh-CN"/>
        </w:rPr>
        <w:t>(四)加强监管</w:t>
      </w:r>
      <w:r>
        <w:rPr>
          <w:rFonts w:hint="default" w:ascii="CESI楷体-GB2312" w:hAnsi="CESI楷体-GB2312" w:eastAsia="CESI楷体-GB2312" w:cs="CESI楷体-GB2312"/>
          <w:b/>
          <w:bCs/>
          <w:color w:val="auto"/>
          <w:sz w:val="32"/>
          <w:szCs w:val="32"/>
          <w:lang w:val="en"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val="en" w:eastAsia="zh-CN"/>
        </w:rPr>
        <w:t>。</w:t>
      </w:r>
      <w:r>
        <w:rPr>
          <w:rFonts w:hint="eastAsia" w:ascii="仿宋_GB2312" w:hAnsi="仿宋_GB2312" w:eastAsia="仿宋_GB2312" w:cs="仿宋_GB2312"/>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严格落实属地管理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val="en"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pacing w:val="13"/>
          <w:sz w:val="32"/>
          <w:szCs w:val="32"/>
          <w14:textFill>
            <w14:solidFill>
              <w14:schemeClr w14:val="tx1"/>
            </w14:solidFill>
          </w14:textFill>
        </w:rPr>
        <w:t>农业农村和财政部门</w:t>
      </w:r>
      <w:r>
        <w:rPr>
          <w:rFonts w:hint="eastAsia" w:ascii="仿宋_GB2312" w:hAnsi="仿宋_GB2312" w:eastAsia="仿宋_GB2312" w:cs="仿宋_GB2312"/>
          <w:color w:val="000000" w:themeColor="text1"/>
          <w:spacing w:val="13"/>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spacing w:val="13"/>
          <w:sz w:val="32"/>
          <w:szCs w:val="32"/>
          <w14:textFill>
            <w14:solidFill>
              <w14:schemeClr w14:val="tx1"/>
            </w14:solidFill>
          </w14:textFill>
        </w:rPr>
        <w:t>联</w:t>
      </w:r>
      <w:r>
        <w:rPr>
          <w:rFonts w:hint="eastAsia" w:ascii="仿宋_GB2312" w:hAnsi="仿宋_GB2312" w:eastAsia="仿宋_GB2312" w:cs="仿宋_GB2312"/>
          <w:color w:val="000000" w:themeColor="text1"/>
          <w:spacing w:val="14"/>
          <w:sz w:val="32"/>
          <w:szCs w:val="32"/>
          <w14:textFill>
            <w14:solidFill>
              <w14:schemeClr w14:val="tx1"/>
            </w14:solidFill>
          </w14:textFill>
        </w:rPr>
        <w:t>合查处和</w:t>
      </w:r>
      <w:r>
        <w:rPr>
          <w:rFonts w:hint="eastAsia" w:ascii="仿宋_GB2312" w:hAnsi="黑体" w:eastAsia="仿宋_GB2312"/>
          <w:color w:val="000000" w:themeColor="text1"/>
          <w:sz w:val="32"/>
          <w:szCs w:val="40"/>
          <w14:textFill>
            <w14:solidFill>
              <w14:schemeClr w14:val="tx1"/>
            </w14:solidFill>
          </w14:textFill>
        </w:rPr>
        <w:t>多部门联合监督机制</w:t>
      </w:r>
      <w:r>
        <w:rPr>
          <w:rFonts w:hint="default" w:ascii="仿宋_GB2312" w:hAnsi="仿宋_GB2312" w:eastAsia="仿宋_GB2312" w:cs="仿宋_GB2312"/>
          <w:color w:val="000000" w:themeColor="text1"/>
          <w:spacing w:val="14"/>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14"/>
          <w:sz w:val="32"/>
          <w:szCs w:val="32"/>
          <w14:textFill>
            <w14:solidFill>
              <w14:schemeClr w14:val="tx1"/>
            </w14:solidFill>
          </w14:textFill>
        </w:rPr>
        <w:t>对违</w:t>
      </w:r>
      <w:r>
        <w:rPr>
          <w:rFonts w:hint="eastAsia" w:ascii="仿宋_GB2312" w:hAnsi="仿宋_GB2312" w:eastAsia="仿宋_GB2312" w:cs="仿宋_GB2312"/>
          <w:color w:val="000000" w:themeColor="text1"/>
          <w:spacing w:val="23"/>
          <w:sz w:val="32"/>
          <w:szCs w:val="32"/>
          <w14:textFill>
            <w14:solidFill>
              <w14:schemeClr w14:val="tx1"/>
            </w14:solidFill>
          </w14:textFill>
        </w:rPr>
        <w:t>法违规行为保持</w:t>
      </w:r>
      <w:r>
        <w:rPr>
          <w:rFonts w:hint="eastAsia" w:ascii="仿宋_GB2312" w:hAnsi="仿宋_GB2312" w:eastAsia="仿宋_GB2312" w:cs="仿宋_GB2312"/>
          <w:color w:val="000000" w:themeColor="text1"/>
          <w:spacing w:val="-39"/>
          <w:w w:val="8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31"/>
          <w:sz w:val="32"/>
          <w:szCs w:val="32"/>
          <w14:textFill>
            <w14:solidFill>
              <w14:schemeClr w14:val="tx1"/>
            </w14:solidFill>
          </w14:textFill>
        </w:rPr>
        <w:t>零容忍</w:t>
      </w:r>
      <w:r>
        <w:rPr>
          <w:rFonts w:hint="eastAsia" w:ascii="仿宋_GB2312" w:hAnsi="仿宋_GB2312" w:eastAsia="仿宋_GB2312" w:cs="仿宋_GB2312"/>
          <w:color w:val="000000" w:themeColor="text1"/>
          <w:spacing w:val="-36"/>
          <w:w w:val="8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高压态势</w:t>
      </w:r>
      <w:r>
        <w:rPr>
          <w:rFonts w:hint="default" w:ascii="仿宋_GB2312" w:hAnsi="仿宋_GB2312" w:eastAsia="仿宋_GB2312" w:cs="仿宋_GB2312"/>
          <w:color w:val="000000" w:themeColor="text1"/>
          <w:spacing w:val="7"/>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7"/>
          <w:sz w:val="32"/>
          <w:szCs w:val="32"/>
          <w14:textFill>
            <w14:solidFill>
              <w14:schemeClr w14:val="tx1"/>
            </w14:solidFill>
          </w14:textFill>
        </w:rPr>
        <w:t>从严整治违法违规行为</w:t>
      </w:r>
      <w:r>
        <w:rPr>
          <w:rFonts w:hint="default" w:ascii="仿宋_GB2312" w:hAnsi="仿宋_GB2312" w:eastAsia="仿宋_GB2312" w:cs="仿宋_GB2312"/>
          <w:color w:val="000000" w:themeColor="text1"/>
          <w:spacing w:val="7"/>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7"/>
          <w:sz w:val="32"/>
          <w:szCs w:val="32"/>
          <w14:textFill>
            <w14:solidFill>
              <w14:schemeClr w14:val="tx1"/>
            </w14:solidFill>
          </w14:textFill>
        </w:rPr>
        <w:t>涉</w:t>
      </w:r>
      <w:r>
        <w:rPr>
          <w:rFonts w:hint="eastAsia" w:ascii="仿宋_GB2312" w:hAnsi="仿宋_GB2312" w:eastAsia="仿宋_GB2312" w:cs="仿宋_GB2312"/>
          <w:color w:val="000000" w:themeColor="text1"/>
          <w:spacing w:val="16"/>
          <w:sz w:val="32"/>
          <w:szCs w:val="32"/>
          <w14:textFill>
            <w14:solidFill>
              <w14:schemeClr w14:val="tx1"/>
            </w14:solidFill>
          </w14:textFill>
        </w:rPr>
        <w:t>嫌犯罪的</w:t>
      </w:r>
      <w:r>
        <w:rPr>
          <w:rFonts w:hint="default" w:ascii="仿宋_GB2312" w:hAnsi="仿宋_GB2312" w:eastAsia="仿宋_GB2312" w:cs="仿宋_GB2312"/>
          <w:color w:val="000000" w:themeColor="text1"/>
          <w:spacing w:val="16"/>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16"/>
          <w:sz w:val="32"/>
          <w:szCs w:val="32"/>
          <w14:textFill>
            <w14:solidFill>
              <w14:schemeClr w14:val="tx1"/>
            </w14:solidFill>
          </w14:textFill>
        </w:rPr>
        <w:t>移交司法机关予以查处</w:t>
      </w:r>
      <w:r>
        <w:rPr>
          <w:rFonts w:hint="default" w:ascii="仿宋_GB2312" w:hAnsi="仿宋_GB2312" w:eastAsia="仿宋_GB2312" w:cs="仿宋_GB2312"/>
          <w:color w:val="000000" w:themeColor="text1"/>
          <w:spacing w:val="16"/>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16"/>
          <w:sz w:val="32"/>
          <w:szCs w:val="32"/>
          <w14:textFill>
            <w14:solidFill>
              <w14:schemeClr w14:val="tx1"/>
            </w14:solidFill>
          </w14:textFill>
        </w:rPr>
        <w:t>有力维护政策实施良好秩序</w:t>
      </w:r>
      <w:r>
        <w:rPr>
          <w:rFonts w:hint="default" w:ascii="仿宋_GB2312" w:hAnsi="仿宋_GB2312" w:eastAsia="仿宋_GB2312" w:cs="仿宋_GB2312"/>
          <w:color w:val="000000" w:themeColor="text1"/>
          <w:w w:val="80"/>
          <w:sz w:val="32"/>
          <w:szCs w:val="32"/>
          <w:lang w:val="en"/>
          <w14:textFill>
            <w14:solidFill>
              <w14:schemeClr w14:val="tx1"/>
            </w14:solidFill>
          </w14:textFill>
        </w:rPr>
        <w:t>。</w:t>
      </w:r>
    </w:p>
    <w:p w14:paraId="33285DFC">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p>
    <w:p w14:paraId="6AB22D81">
      <w:pPr>
        <w:pStyle w:val="4"/>
        <w:keepNext w:val="0"/>
        <w:keepLines w:val="0"/>
        <w:pageBreakBefore w:val="0"/>
        <w:widowControl w:val="0"/>
        <w:kinsoku/>
        <w:wordWrap/>
        <w:overflowPunct/>
        <w:topLinePunct w:val="0"/>
        <w:autoSpaceDE w:val="0"/>
        <w:autoSpaceDN w:val="0"/>
        <w:bidi w:val="0"/>
        <w:adjustRightInd/>
        <w:snapToGrid/>
        <w:spacing w:line="360" w:lineRule="auto"/>
        <w:ind w:left="1657" w:leftChars="332"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6"/>
          <w:kern w:val="0"/>
          <w:sz w:val="32"/>
          <w:szCs w:val="32"/>
          <w:lang w:val="en-US" w:eastAsia="en-US" w:bidi="ar-SA"/>
        </w:rPr>
        <w:t>2024—2026年</w:t>
      </w:r>
      <w:r>
        <w:rPr>
          <w:rFonts w:hint="eastAsia" w:ascii="仿宋_GB2312" w:hAnsi="仿宋_GB2312" w:eastAsia="仿宋_GB2312" w:cs="仿宋_GB2312"/>
          <w:spacing w:val="16"/>
          <w:kern w:val="0"/>
          <w:sz w:val="32"/>
          <w:szCs w:val="32"/>
          <w:lang w:val="en-US" w:eastAsia="zh-CN" w:bidi="ar-SA"/>
        </w:rPr>
        <w:t>新乡市</w:t>
      </w:r>
      <w:r>
        <w:rPr>
          <w:rFonts w:hint="eastAsia" w:ascii="仿宋_GB2312" w:hAnsi="仿宋_GB2312" w:eastAsia="仿宋_GB2312" w:cs="仿宋_GB2312"/>
          <w:spacing w:val="16"/>
          <w:kern w:val="0"/>
          <w:sz w:val="32"/>
          <w:szCs w:val="32"/>
          <w:lang w:val="en-US" w:eastAsia="en-US" w:bidi="ar-SA"/>
        </w:rPr>
        <w:t>农机购置与应用补贴机具种类范围</w:t>
      </w:r>
    </w:p>
    <w:p w14:paraId="52BBB5EF">
      <w:pPr>
        <w:bidi w:val="0"/>
        <w:rPr>
          <w:rFonts w:hint="eastAsia" w:ascii="仿宋_GB2312" w:hAnsi="仿宋_GB2312" w:eastAsia="仿宋_GB2312" w:cs="仿宋_GB2312"/>
          <w:sz w:val="32"/>
          <w:szCs w:val="32"/>
          <w:lang w:eastAsia="zh-CN"/>
        </w:rPr>
      </w:pPr>
    </w:p>
    <w:p w14:paraId="7648087A">
      <w:pPr>
        <w:bidi w:val="0"/>
        <w:ind w:firstLine="2880" w:firstLineChars="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红旗区农业农村局</w:t>
      </w:r>
      <w:r>
        <w:rPr>
          <w:rFonts w:hint="eastAsia" w:ascii="仿宋_GB2312" w:hAnsi="仿宋_GB2312" w:eastAsia="仿宋_GB2312" w:cs="仿宋_GB2312"/>
          <w:sz w:val="32"/>
          <w:szCs w:val="32"/>
          <w:lang w:val="en-US" w:eastAsia="zh-CN"/>
        </w:rPr>
        <w:t xml:space="preserve">   红旗区财政局</w:t>
      </w:r>
    </w:p>
    <w:p w14:paraId="421D7AD6">
      <w:pPr>
        <w:bidi w:val="0"/>
        <w:ind w:firstLine="5440" w:firstLineChars="17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2024年12月4日</w:t>
      </w:r>
    </w:p>
    <w:p w14:paraId="51FE7947">
      <w:pPr>
        <w:bidi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2514D7B4">
      <w:pPr>
        <w:pStyle w:val="2"/>
        <w:spacing w:line="256" w:lineRule="auto"/>
        <w:ind w:left="-39" w:right="984"/>
        <w:jc w:val="both"/>
        <w:rPr>
          <w:rFonts w:hint="eastAsia" w:ascii="方正小标宋简体" w:hAnsi="方正小标宋简体" w:eastAsia="方正小标宋简体" w:cs="方正小标宋简体"/>
          <w:w w:val="95"/>
          <w:sz w:val="32"/>
          <w:szCs w:val="32"/>
        </w:rPr>
      </w:pPr>
    </w:p>
    <w:p w14:paraId="00DCE255">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新乡市</w:t>
      </w:r>
      <w:r>
        <w:rPr>
          <w:rFonts w:hint="eastAsia" w:ascii="方正小标宋简体" w:hAnsi="方正小标宋简体" w:eastAsia="方正小标宋简体" w:cs="方正小标宋简体"/>
          <w:spacing w:val="21"/>
          <w:w w:val="95"/>
          <w:sz w:val="36"/>
          <w:szCs w:val="36"/>
        </w:rPr>
        <w:t>农机购置与应用补贴</w:t>
      </w:r>
    </w:p>
    <w:p w14:paraId="5D2C3F6C">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14:paraId="230E9E73">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themeColor="text1"/>
          <w:spacing w:val="-66"/>
          <w:sz w:val="32"/>
          <w:szCs w:val="32"/>
          <w14:textFill>
            <w14:solidFill>
              <w14:schemeClr w14:val="tx1"/>
            </w14:solidFill>
          </w14:textFill>
        </w:rPr>
        <w:t xml:space="preserve"> </w:t>
      </w:r>
      <w:r>
        <w:rPr>
          <w:rFonts w:hint="eastAsia" w:ascii="CESI楷体-GB2312" w:hAnsi="CESI楷体-GB2312" w:eastAsia="CESI楷体-GB2312" w:cs="CESI楷体-GB2312"/>
          <w:color w:val="000000" w:themeColor="text1"/>
          <w:spacing w:val="-1"/>
          <w:w w:val="80"/>
          <w:sz w:val="32"/>
          <w:szCs w:val="32"/>
          <w:lang w:val="en-US" w:eastAsia="zh-CN"/>
          <w14:textFill>
            <w14:solidFill>
              <w14:schemeClr w14:val="tx1"/>
            </w14:solidFill>
          </w14:textFill>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14:paraId="4E846528">
      <w:pPr>
        <w:pStyle w:val="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14:paraId="3B4BD2F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14:paraId="3FD4454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14:paraId="25D9D2A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14:paraId="312352D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14:paraId="3FA0BBA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14:paraId="4FCA673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14:paraId="2954D90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14:paraId="53531088">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14:paraId="7F19386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14:paraId="30810B3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14:paraId="1E9FBB8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14:paraId="0AFA8A4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14:paraId="07FE093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14:paraId="52177B31">
      <w:pPr>
        <w:pStyle w:val="4"/>
        <w:spacing w:before="182"/>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14:paraId="56CA82B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14:paraId="44027A4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14:paraId="7422B1A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14:paraId="0F5269C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14:paraId="4DE6153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14:paraId="722E8F8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14:paraId="127BCD2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14:paraId="7C93399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14:paraId="1AA63D2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14:paraId="2480312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14:paraId="6B3EB20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14:paraId="1F0DA1E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14:paraId="74D61D6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14:paraId="7BD7475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14:paraId="78C9798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14:paraId="4A267C1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14:paraId="7B2FAD6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14:paraId="1523FAE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14:paraId="73A06DD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14:paraId="6E3A430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14:paraId="5E7D08B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14:paraId="1BD4D11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14:paraId="259E36F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14:paraId="55B915D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14:paraId="380DCEE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14:paraId="5857D02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14:paraId="0E3EF44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14:paraId="70EC074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14:paraId="5CE42B1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14:paraId="0F2595E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14:paraId="723009D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14:paraId="1FF6F59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14:paraId="4429709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14:paraId="0263082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14:paraId="11EAB45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14:paraId="2FB86CC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14:paraId="63C1FC6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14:paraId="6CF3C9F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14:paraId="12F135D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14:paraId="74C093D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14:paraId="091D141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14:paraId="0F110A4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14:paraId="2A6289B8">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14:paraId="6C7AED1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14:paraId="2652538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14:paraId="5045318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14:paraId="00C1372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14:paraId="512D446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14:paraId="0A3A00C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14:paraId="2B9C05E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14:paraId="7B5634C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14:paraId="72CA2B1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14:paraId="556C579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14:paraId="7444812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14:paraId="14214AA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14:paraId="4812407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14:paraId="2EF549E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14:paraId="52655F8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14:paraId="681A055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14:paraId="1FE7405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14:paraId="33B4670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14:paraId="4E7B1E3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14:paraId="6AAB87E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14:paraId="39BDEE1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14:paraId="1A2DA18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14:paraId="2F6D8E3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14:paraId="72E8239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14:paraId="02AE005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14:paraId="310A0C5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14:paraId="14A7708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14:paraId="2955ABE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14:paraId="361E01E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14:paraId="4F3B71F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14:paraId="4D8F7FA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14:paraId="6BE5E41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14:paraId="537E516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14:paraId="1E4E2A8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14:paraId="7DEAA00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14:paraId="351F7F4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14:paraId="4BBB707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14:paraId="0747B91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14:paraId="3939EE9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14:paraId="06C233B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14:paraId="4DEDEE9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14:paraId="67C8953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14:paraId="0BD98F3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14:paraId="77447C1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14:paraId="559E643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14:paraId="35DC7A2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14:paraId="4963A75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14:paraId="5765F90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14:paraId="2F8741B8">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14:paraId="41D3143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14:paraId="61006AB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14:paraId="2365080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14:paraId="35EB5FD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14:paraId="2BB805D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14:paraId="2E88CF6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14:paraId="47D5C63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14:paraId="6026B65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14:paraId="606009C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14:paraId="5BF1A1E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14:paraId="5176422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14:paraId="15C4A2F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14:paraId="5270CF9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14:paraId="4437885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14:paraId="67F9C3D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14:paraId="0CD85E6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14:paraId="7F1EC1F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14:paraId="59C125D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14:paraId="0E6FB23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14:paraId="0B0C5AD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14:paraId="0EC9AA4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14:paraId="78D6A22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14:paraId="6FC5001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14:paraId="2475862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14:paraId="15FA90E8">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14:paraId="27073AB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14:paraId="22883E7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14:paraId="6157F7C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14:paraId="7C35C8F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14:paraId="5DA4105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14:paraId="6097E03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14:paraId="1B25885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14:paraId="360BDCB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14:paraId="061B63E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14:paraId="4AD8E10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14:paraId="564E893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14:paraId="2E90124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14:paraId="3766E9F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14:paraId="7850648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14:paraId="1D1EBC0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14:paraId="54EC551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14:paraId="0B90FAA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14:paraId="08388C6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14:paraId="71C579A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14:paraId="7500606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14:paraId="020AFC7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14:paraId="0A0A191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14:paraId="5088EA6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14:paraId="7A28920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14:paraId="1DBB782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14:paraId="3EF9605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14:paraId="78AA4FE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14:paraId="1BD5A27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14:paraId="0D97CE9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14:paraId="2AAAE65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14:paraId="417C145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14:paraId="0544310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14:paraId="2D8AC9A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14:paraId="18320B8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14:paraId="6F7793B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14:paraId="0D235B9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14:paraId="280009D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14:paraId="48D53C6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14:paraId="45738EF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14:paraId="6E5C3F9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14:paraId="0E7D768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14:paraId="3D6F270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14:paraId="5594D1A8">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14:paraId="13BBED6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14:paraId="09E1867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14:paraId="721432A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14:paraId="1F8B989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14:paraId="4870A3A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14:paraId="200C499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14:paraId="0677A4DA">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14:paraId="463A2AD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14:paraId="5039DD4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14:paraId="032B31D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14:paraId="595E8C7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14:paraId="5FE4B670">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14:paraId="06B7BA9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14:paraId="5A2F99C8">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14:paraId="032C6F3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14:paraId="2863B12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14:paraId="1433B66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14:paraId="2FDBF36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14:paraId="6F18FB6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14:paraId="114C863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14:paraId="074C3001">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14:paraId="2449829F">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14:paraId="0A81DAC3">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14:paraId="3379676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14:paraId="2AEA215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14:paraId="092A041E">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14:paraId="1A991B1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14:paraId="20316DB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14:paraId="02C6BA1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14:paraId="244D82B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14:paraId="257E350B">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14:paraId="67EAE465">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14:paraId="05BDFFBD">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14:paraId="2D494BD9">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14:paraId="634F9F62">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69C1D1E7">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3BBB9974">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32D96D7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6E5F076C">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33563FD6">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14:paraId="2015158F">
      <w:pPr>
        <w:spacing w:line="360" w:lineRule="auto"/>
        <w:jc w:val="both"/>
        <w:rPr>
          <w:b/>
          <w:bCs/>
          <w:color w:val="FF000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ESI楷体-GB2312">
    <w:altName w:val="楷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302"/>
    <w:multiLevelType w:val="singleLevel"/>
    <w:tmpl w:val="FFBEC302"/>
    <w:lvl w:ilvl="0" w:tentative="0">
      <w:start w:val="2"/>
      <w:numFmt w:val="chineseCounting"/>
      <w:suff w:val="nothing"/>
      <w:lvlText w:val="%1、"/>
      <w:lvlJc w:val="left"/>
      <w:rPr>
        <w:rFonts w:hint="eastAsia"/>
      </w:rPr>
    </w:lvl>
  </w:abstractNum>
  <w:abstractNum w:abstractNumId="1">
    <w:nsid w:val="29B9450A"/>
    <w:multiLevelType w:val="singleLevel"/>
    <w:tmpl w:val="29B9450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73467"/>
    <w:rsid w:val="0AE52725"/>
    <w:rsid w:val="2C8A1D89"/>
    <w:rsid w:val="34473467"/>
    <w:rsid w:val="43413CD0"/>
    <w:rsid w:val="67E0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96"/>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List Paragraph"/>
    <w:basedOn w:val="1"/>
    <w:qFormat/>
    <w:uiPriority w:val="1"/>
    <w:pPr>
      <w:spacing w:before="175"/>
      <w:ind w:left="1201" w:hanging="471"/>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7126</Words>
  <Characters>7967</Characters>
  <Lines>0</Lines>
  <Paragraphs>0</Paragraphs>
  <TotalTime>8</TotalTime>
  <ScaleCrop>false</ScaleCrop>
  <LinksUpToDate>false</LinksUpToDate>
  <CharactersWithSpaces>8203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2024-12-04T00:42:00Z</dcterms:created>
  <dc:creator>Lenovo</dc:creator>
  <cp:lastModifiedBy>慧</cp:lastModifiedBy>
  <dcterms:modified xsi:type="dcterms:W3CDTF">2024-12-04T06:59:26Z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7CCAF495F9604DF5822991CDE31880CA_13</vt:lpwstr>
  </property>
</Properties>
</file>