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EC49">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color w:val="auto"/>
          <w:sz w:val="44"/>
          <w:szCs w:val="44"/>
          <w:lang w:eastAsia="zh-CN"/>
        </w:rPr>
      </w:pPr>
      <w:bookmarkStart w:id="0" w:name="_GoBack"/>
      <w:bookmarkEnd w:id="0"/>
      <w:r>
        <w:rPr>
          <w:rFonts w:hint="eastAsia" w:ascii="黑体" w:hAnsi="黑体" w:eastAsia="黑体" w:cs="黑体"/>
          <w:color w:val="auto"/>
          <w:sz w:val="44"/>
          <w:szCs w:val="44"/>
          <w:lang w:eastAsia="zh-CN"/>
        </w:rPr>
        <w:t>北关区2024-2026年农机购置与应用</w:t>
      </w:r>
    </w:p>
    <w:p w14:paraId="1C788BD4">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补贴实施方案</w:t>
      </w:r>
    </w:p>
    <w:p w14:paraId="3EDFF323">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lang w:eastAsia="zh-CN"/>
        </w:rPr>
      </w:pPr>
    </w:p>
    <w:p w14:paraId="718DDD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一、总体要求 </w:t>
      </w:r>
    </w:p>
    <w:p w14:paraId="401672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245D46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二、实施重点</w:t>
      </w:r>
    </w:p>
    <w:p w14:paraId="55F23BF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（一）在支持重点方面着力突出稳产保供。</w:t>
      </w:r>
      <w:r>
        <w:rPr>
          <w:rFonts w:hint="eastAsia" w:ascii="仿宋_GB2312" w:hAnsi="仿宋_GB2312" w:eastAsia="仿宋_GB2312" w:cs="仿宋_GB2312"/>
          <w:color w:val="auto"/>
          <w:sz w:val="32"/>
          <w:szCs w:val="32"/>
          <w:lang w:eastAsia="zh-CN"/>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26A373E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（二）在补贴兑付方面着力提升服务效能。</w:t>
      </w:r>
      <w:r>
        <w:rPr>
          <w:rFonts w:hint="eastAsia" w:ascii="仿宋_GB2312" w:hAnsi="仿宋_GB2312" w:eastAsia="仿宋_GB2312" w:cs="仿宋_GB2312"/>
          <w:color w:val="auto"/>
          <w:sz w:val="32"/>
          <w:szCs w:val="32"/>
          <w:lang w:eastAsia="zh-CN"/>
        </w:rPr>
        <w:t>强化资金兑付工作，增加结算批次，鼓励推进补贴全流程线上办理，提高补贴办理便利性，确保及时兑付。加强补贴资金管理，落实专款专用要求，加大对超期不兑付、兑付慢问题治理力度，健全完善补贴资金管理长效机制。</w:t>
      </w:r>
    </w:p>
    <w:p w14:paraId="595D57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三、补贴对象和补贴标准 </w:t>
      </w:r>
    </w:p>
    <w:p w14:paraId="5FF6E4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补贴对象为从事农业生产的农民和农业生产经营组织(以下简称“购机者”)，其中农业生产经营组织包括农村集体经济组织、农民专业合作经济组织、农业企业和其他从事农业生产经营的组织。</w:t>
      </w:r>
    </w:p>
    <w:p w14:paraId="59DA9A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农机购置与应用补贴政策继续覆盖全区所有涉农街道办事处，柏庄镇。</w:t>
      </w:r>
    </w:p>
    <w:p w14:paraId="4A4D3C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机购置与应用补贴实行定额补贴，即同一种类、同一档次农业机械在本省实行统一的补贴标准，具体补贴标准按《河南省2024-2026年农机购置与应用补贴机具补贴额一览表》（另行下达）执行。补贴额将保持总体稳定，具体产品或具体档次的实际补贴比例在测算比例上下一定范围内浮动符合政策规定。各地在政策实施过程中发现具体产品或档次的实际补贴比例超过测算比例15个百分点以上的，农业农村（农机）部门会同财政部门应结合实际情况及时组织调查，并将调查情况及时报送省农业农村厅、财政厅。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要严肃查处。</w:t>
      </w:r>
    </w:p>
    <w:p w14:paraId="63453F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原则上区级不实施累加补贴。确需累加补贴的须由农业农村部门、财政部门联合逐级上报农业农村部、财政部备案后实施。</w:t>
      </w:r>
    </w:p>
    <w:p w14:paraId="6D289C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四、补贴范围和补贴机具</w:t>
      </w:r>
    </w:p>
    <w:p w14:paraId="0ED4014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（一）补贴范围。</w:t>
      </w:r>
      <w:r>
        <w:rPr>
          <w:rFonts w:hint="eastAsia" w:ascii="仿宋_GB2312" w:hAnsi="仿宋_GB2312" w:eastAsia="仿宋_GB2312" w:cs="仿宋_GB2312"/>
          <w:color w:val="auto"/>
          <w:sz w:val="32"/>
          <w:szCs w:val="32"/>
          <w:lang w:eastAsia="zh-CN"/>
        </w:rPr>
        <w:t>根据2024-2026年河南省农机购置补贴机具种类范围，结合我区农业生产实际需求，确定我区补贴机具范围为22大类46个小类128个品目（详见附件）。优先保障粮油等主要作物大面积单产提升等重点机具的推广应用，将更多符合条件的先进适用机具纳入补贴范围。</w:t>
      </w:r>
    </w:p>
    <w:p w14:paraId="42E0A9D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（二）常规机具。</w:t>
      </w:r>
      <w:r>
        <w:rPr>
          <w:rFonts w:hint="eastAsia" w:ascii="仿宋_GB2312" w:hAnsi="仿宋_GB2312" w:eastAsia="仿宋_GB2312" w:cs="仿宋_GB2312"/>
          <w:color w:val="auto"/>
          <w:sz w:val="32"/>
          <w:szCs w:val="32"/>
          <w:lang w:eastAsia="zh-CN"/>
        </w:rPr>
        <w:t>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4B0380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全面开展农用无人驾驶航空器购置补贴工作，具体实施方案另行公布。</w:t>
      </w:r>
    </w:p>
    <w:p w14:paraId="355D3C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五、资金使用和管理</w:t>
      </w:r>
    </w:p>
    <w:p w14:paraId="67EA083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（一）资金使用。</w:t>
      </w:r>
      <w:r>
        <w:rPr>
          <w:rFonts w:hint="eastAsia" w:ascii="仿宋_GB2312" w:hAnsi="仿宋_GB2312" w:eastAsia="仿宋_GB2312" w:cs="仿宋_GB2312"/>
          <w:color w:val="auto"/>
          <w:sz w:val="32"/>
          <w:szCs w:val="32"/>
          <w:lang w:eastAsia="zh-CN"/>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14:paraId="78E476D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（二）资金管理。</w:t>
      </w:r>
      <w:r>
        <w:rPr>
          <w:rFonts w:hint="eastAsia" w:ascii="仿宋_GB2312" w:hAnsi="仿宋_GB2312" w:eastAsia="仿宋_GB2312" w:cs="仿宋_GB2312"/>
          <w:color w:val="auto"/>
          <w:sz w:val="32"/>
          <w:szCs w:val="32"/>
          <w:lang w:eastAsia="zh-CN"/>
        </w:rPr>
        <w:t>区财政部门按规定落实资金管理责任。接受市财政部门和农业农村（农机）部门对资金使用情况监测。区财政部门要根据预算管理规定和用款需求，合理安排补贴资金支出进度。要将保障补贴工作实施必要的组织管理经费纳入预算，包括政策实施、绩效考核、机具核验、信息化建设、第三方抽查核验等工作经费。</w:t>
      </w:r>
    </w:p>
    <w:p w14:paraId="62A8D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六、操作实施流程 </w:t>
      </w:r>
    </w:p>
    <w:p w14:paraId="728069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农机购置与应用补贴政策实行“自主购机、定额补贴、先购后补、县级结算、直补到卡（户）”购机行为完成后，购机者自主向当地农业农村（农机）部门提出补贴资金申领事项，签署告知承诺书，承诺购买行为、发票购机价格等信息真实有效，按相关规定申办补贴。    </w:t>
      </w:r>
    </w:p>
    <w:p w14:paraId="2D61DC9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（一）发布实施规定。</w:t>
      </w:r>
      <w:r>
        <w:rPr>
          <w:rFonts w:hint="eastAsia" w:ascii="仿宋_GB2312" w:hAnsi="仿宋_GB2312" w:eastAsia="仿宋_GB2312" w:cs="仿宋_GB2312"/>
          <w:color w:val="auto"/>
          <w:sz w:val="32"/>
          <w:szCs w:val="32"/>
          <w:lang w:eastAsia="zh-CN"/>
        </w:rPr>
        <w:t>区农业农村（农机）、财政部门按职责分工和有关规定发布本地区农机购置补贴实施方案、操作程序、补贴额一览表、补贴机具信息表、咨询投诉举报电话等信息。</w:t>
      </w:r>
    </w:p>
    <w:p w14:paraId="4E5EA00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（二）自主购机。</w:t>
      </w:r>
      <w:r>
        <w:rPr>
          <w:rFonts w:hint="eastAsia" w:ascii="仿宋_GB2312" w:hAnsi="仿宋_GB2312" w:eastAsia="仿宋_GB2312" w:cs="仿宋_GB2312"/>
          <w:color w:val="auto"/>
          <w:sz w:val="32"/>
          <w:szCs w:val="32"/>
          <w:lang w:eastAsia="zh-CN"/>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76F9187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(三)受理补贴申请。</w:t>
      </w:r>
      <w:r>
        <w:rPr>
          <w:rFonts w:hint="eastAsia" w:ascii="仿宋_GB2312" w:hAnsi="仿宋_GB2312" w:eastAsia="仿宋_GB2312" w:cs="仿宋_GB2312"/>
          <w:color w:val="auto"/>
          <w:sz w:val="32"/>
          <w:szCs w:val="32"/>
          <w:lang w:eastAsia="zh-CN"/>
        </w:rPr>
        <w:t>区农业农村（农机）部门在收到购机者完成签字确认的补贴申请后，应于2个工作日内作出是否受理的决定，对因资料不齐全等原因无法受理的，应注明原因，按原渠道退回申请，并告知购机者，做好咨询答疑。可结合实际，根据农机购置与应用补贴资金申请数量设置购机者年度内享受补贴资金总额的上限及其申请条件等。区农业农村（农机）部门全面实行办理服务系统常年连续开放，推广使用信息化技术，方便购机者随时在线录入补贴申请信息。引导购机者在录入信息后，及时向农业农村（农机）部门提交补贴申请资料。区级补贴资金申请数量达到或超过当年可用资金(含结转资金、调剂资金) 时，购机者提交的补贴申请可继续录入进行预登记，但应及时告知购机者有关情况。</w:t>
      </w:r>
    </w:p>
    <w:p w14:paraId="1AD3B4B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(四)机具核验。</w:t>
      </w:r>
      <w:r>
        <w:rPr>
          <w:rFonts w:hint="eastAsia" w:ascii="仿宋_GB2312" w:hAnsi="仿宋_GB2312" w:eastAsia="仿宋_GB2312" w:cs="仿宋_GB2312"/>
          <w:color w:val="auto"/>
          <w:sz w:val="32"/>
          <w:szCs w:val="32"/>
          <w:lang w:eastAsia="zh-CN"/>
        </w:rPr>
        <w:t>鼓励农业农村（农机）部门探索多种核验方式，提高补贴机具核验水平。探索打造农机管理干部、农机技术人员、第三方机构、有经验有意愿的农机使用一线“ 土专家” 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可结合实际，确定抽查核验比例。对成套设施装备，农业农村（农机）部门、财政部门可组织符合条件的第三方开展核验。</w:t>
      </w:r>
    </w:p>
    <w:p w14:paraId="1132D15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(五)审验公示信息。</w:t>
      </w:r>
      <w:r>
        <w:rPr>
          <w:rFonts w:hint="eastAsia" w:ascii="仿宋_GB2312" w:hAnsi="仿宋_GB2312" w:eastAsia="仿宋_GB2312" w:cs="仿宋_GB2312"/>
          <w:color w:val="auto"/>
          <w:sz w:val="32"/>
          <w:szCs w:val="32"/>
          <w:lang w:eastAsia="zh-CN"/>
        </w:rPr>
        <w:t>区农业农村（农机）部门按照《农机购置补贴机具核验工作要点(试行) 》 等要求，对补贴相关申请资料进行审核，对补贴机具进行核验，其中实行牌证管理的机具，要先行办理牌证照，并凭牌证免于现场实物核验。农业农村（农机）部门对符合条件可以受理的，应于13个工作日内(不含公示时间。与作业面积或作业量挂钩的机具核验时间可适当延长。) 完成相关核验工作，并在农机购置与应用补贴信息公开专栏实时公布补贴申请信息，公示时间为5个工作日。鼓励在乡村和补贴申请点公示栏中同时公开公示信息。</w:t>
      </w:r>
    </w:p>
    <w:p w14:paraId="06508EB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(六)兑付补贴资金。</w:t>
      </w:r>
      <w:r>
        <w:rPr>
          <w:rFonts w:hint="eastAsia" w:ascii="仿宋_GB2312" w:hAnsi="仿宋_GB2312" w:eastAsia="仿宋_GB2312" w:cs="仿宋_GB2312"/>
          <w:color w:val="auto"/>
          <w:sz w:val="32"/>
          <w:szCs w:val="32"/>
          <w:lang w:eastAsia="zh-CN"/>
        </w:rPr>
        <w:t>农机购置补贴资金按规定纳入“一卡通”系统集中发放，其中发放给个人、家庭的补贴资金纳入“一卡通”系统发放，发放给农业生产经营组织的补贴资金按规定通过国库集中支付方式向符合要求的购机者兑付。区农业农村（农机）部门在公示完成后5个工作日内，向区财政部门提交资金兑付申请与有关材料，区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农业农村（农机）部门会同财政部门，根据地区农业生产需求，可指定有关品目(或档次) 优先录入、优先兑付。</w:t>
      </w:r>
    </w:p>
    <w:p w14:paraId="48BE4AA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(七）组织抽查。</w:t>
      </w:r>
      <w:r>
        <w:rPr>
          <w:rFonts w:hint="eastAsia" w:ascii="仿宋_GB2312" w:hAnsi="仿宋_GB2312" w:eastAsia="仿宋_GB2312" w:cs="仿宋_GB2312"/>
          <w:color w:val="auto"/>
          <w:sz w:val="32"/>
          <w:szCs w:val="32"/>
          <w:lang w:eastAsia="zh-CN"/>
        </w:rPr>
        <w:t>区农业农村（农机）部门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6526AC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6E2FB7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七、实施要求</w:t>
      </w:r>
    </w:p>
    <w:p w14:paraId="2C0B208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(一)加强领导，明确分工。</w:t>
      </w:r>
      <w:r>
        <w:rPr>
          <w:rFonts w:hint="eastAsia" w:ascii="仿宋_GB2312" w:hAnsi="仿宋_GB2312" w:eastAsia="仿宋_GB2312" w:cs="仿宋_GB2312"/>
          <w:color w:val="auto"/>
          <w:sz w:val="32"/>
          <w:szCs w:val="32"/>
          <w:lang w:eastAsia="zh-CN"/>
        </w:rPr>
        <w:t>农机购置与应用补贴事关广大购机者切身利益和农业农村发展大局，事关保障国家粮食安全和加快建设农业强省，区农业农村（农机）、财政部门要把补贴工作摆上重要议程，严格落实管理责任。要建立健全政府领导下的联合实施和监管机制，切实加强组织协调，密切沟通配合，健全完善风险防控制度和内部控制规程，形成工作合力。要进一步明确职责分工，深入落实区农业农村（农机）部门组织实施、审核监管责任和财政部门资金兑付、资金监管责任。要加强绩效管理，形成管理闭环，切实提升政策实施管理工作能力水平。要组织开展业务培训和廉政警示教育，提高补贴工作人员业务素质和风险防控能力意识。</w:t>
      </w:r>
    </w:p>
    <w:p w14:paraId="69BC299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(二)优化服务，提升效能。</w:t>
      </w:r>
      <w:r>
        <w:rPr>
          <w:rFonts w:hint="eastAsia" w:ascii="仿宋_GB2312" w:hAnsi="仿宋_GB2312" w:eastAsia="仿宋_GB2312" w:cs="仿宋_GB2312"/>
          <w:color w:val="auto"/>
          <w:sz w:val="32"/>
          <w:szCs w:val="32"/>
          <w:lang w:eastAsia="zh-CN"/>
        </w:rPr>
        <w:t>要依托农机购置与应用补贴申请办理服务系统，动态分析基层农业农村（农机）和财政部门办理补贴申请具体时限，及时预警和定期通报超时办理行为，切实加快补贴申请受理、资料审核、机具核验、资金兑付等工作。要畅通产业链供应链，营造良好营商环境。要提高补贴机具核验信息化水平，加快机具投档、牌证管理、补贴资金申领等环节信息系统的互联互通，减少人工操作环节，让数据“多跑路”，让群众“少跑腿”。</w:t>
      </w:r>
    </w:p>
    <w:p w14:paraId="47FE5CF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(三)公开信息，接受监督。</w:t>
      </w:r>
      <w:r>
        <w:rPr>
          <w:rFonts w:hint="eastAsia" w:ascii="仿宋_GB2312" w:hAnsi="仿宋_GB2312" w:eastAsia="仿宋_GB2312" w:cs="仿宋_GB2312"/>
          <w:color w:val="auto"/>
          <w:sz w:val="32"/>
          <w:szCs w:val="32"/>
          <w:lang w:eastAsia="zh-CN"/>
        </w:rPr>
        <w:t>区农业农村（农机）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区域内补贴受益信息，公开违规查处结果等信息，主动接受社会监督。</w:t>
      </w:r>
    </w:p>
    <w:p w14:paraId="043FCAB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（四）加强监管，严惩违规。</w:t>
      </w:r>
      <w:r>
        <w:rPr>
          <w:rFonts w:hint="eastAsia" w:ascii="仿宋_GB2312" w:hAnsi="仿宋_GB2312" w:eastAsia="仿宋_GB2312" w:cs="仿宋_GB2312"/>
          <w:color w:val="auto"/>
          <w:sz w:val="32"/>
          <w:szCs w:val="32"/>
          <w:lang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要充分发挥专业机构的技术优势和大数据的信息优势，有效开展违规行为全流程分析排查。区农业农村（农机）和财政部门，应与纪检监察、审计、信访等部门建立联合监督机制，紧盯补贴实施关键环节，结合群众反映的突出问题，以及巡视、审计、信访等相关部门提供的问题线索，开展常态化监督检查。加强联合查处和市际联动处理，对违法违规行为保持“ 零容忍” 高压态势，从严整治违法违规行为，涉嫌犯罪的，移交司法机关予以查处，有力维护政策实施良好秩序。</w:t>
      </w:r>
    </w:p>
    <w:p w14:paraId="02D6F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附件：2024-2026年北关区农机购置与应用补贴机具种类范围</w:t>
      </w:r>
    </w:p>
    <w:p w14:paraId="42F3F91B">
      <w:pPr>
        <w:keepNext w:val="0"/>
        <w:keepLines w:val="0"/>
        <w:pageBreakBefore w:val="0"/>
        <w:kinsoku/>
        <w:wordWrap/>
        <w:overflowPunct/>
        <w:topLinePunct w:val="0"/>
        <w:bidi w:val="0"/>
        <w:spacing w:line="560" w:lineRule="exact"/>
        <w:textAlignment w:val="auto"/>
        <w:rPr>
          <w:rFonts w:hint="eastAsia" w:ascii="黑体" w:hAnsi="黑体" w:eastAsia="黑体" w:cs="黑体"/>
          <w:color w:val="auto"/>
          <w:sz w:val="32"/>
          <w:szCs w:val="32"/>
          <w:lang w:eastAsia="zh-CN"/>
        </w:rPr>
      </w:pPr>
    </w:p>
    <w:p w14:paraId="40DBC988">
      <w:pPr>
        <w:keepNext w:val="0"/>
        <w:keepLines w:val="0"/>
        <w:pageBreakBefore w:val="0"/>
        <w:kinsoku/>
        <w:wordWrap/>
        <w:overflowPunct/>
        <w:topLinePunct w:val="0"/>
        <w:bidi w:val="0"/>
        <w:spacing w:line="560" w:lineRule="exact"/>
        <w:textAlignment w:val="auto"/>
        <w:rPr>
          <w:rFonts w:hint="eastAsia" w:ascii="黑体" w:hAnsi="黑体" w:eastAsia="黑体" w:cs="黑体"/>
          <w:color w:val="auto"/>
          <w:sz w:val="32"/>
          <w:szCs w:val="32"/>
          <w:lang w:eastAsia="zh-CN"/>
        </w:rPr>
      </w:pPr>
    </w:p>
    <w:p w14:paraId="7C0A5320">
      <w:pPr>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color w:val="auto"/>
          <w:w w:val="95"/>
          <w:sz w:val="32"/>
          <w:szCs w:val="32"/>
        </w:rPr>
      </w:pPr>
      <w:r>
        <w:rPr>
          <w:rFonts w:hint="eastAsia" w:ascii="黑体" w:hAnsi="黑体" w:eastAsia="黑体" w:cs="黑体"/>
          <w:color w:val="auto"/>
          <w:sz w:val="32"/>
          <w:szCs w:val="32"/>
          <w:lang w:eastAsia="zh-CN"/>
        </w:rPr>
        <w:t>附件</w:t>
      </w:r>
    </w:p>
    <w:p w14:paraId="57581549">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w w:val="95"/>
          <w:sz w:val="44"/>
          <w:szCs w:val="44"/>
        </w:rPr>
        <w:t>2024—2026</w:t>
      </w:r>
      <w:r>
        <w:rPr>
          <w:rFonts w:hint="eastAsia" w:ascii="方正小标宋简体" w:hAnsi="方正小标宋简体" w:eastAsia="方正小标宋简体" w:cs="方正小标宋简体"/>
          <w:b w:val="0"/>
          <w:bCs w:val="0"/>
          <w:color w:val="auto"/>
          <w:spacing w:val="31"/>
          <w:w w:val="95"/>
          <w:sz w:val="44"/>
          <w:szCs w:val="44"/>
        </w:rPr>
        <w:t xml:space="preserve"> </w:t>
      </w:r>
      <w:r>
        <w:rPr>
          <w:rFonts w:hint="eastAsia" w:ascii="方正小标宋简体" w:hAnsi="方正小标宋简体" w:eastAsia="方正小标宋简体" w:cs="方正小标宋简体"/>
          <w:b w:val="0"/>
          <w:bCs w:val="0"/>
          <w:color w:val="auto"/>
          <w:spacing w:val="21"/>
          <w:w w:val="95"/>
          <w:sz w:val="44"/>
          <w:szCs w:val="44"/>
        </w:rPr>
        <w:t>年</w:t>
      </w:r>
      <w:r>
        <w:rPr>
          <w:rFonts w:hint="eastAsia" w:ascii="方正小标宋简体" w:hAnsi="方正小标宋简体" w:eastAsia="方正小标宋简体" w:cs="方正小标宋简体"/>
          <w:b w:val="0"/>
          <w:bCs w:val="0"/>
          <w:color w:val="auto"/>
          <w:spacing w:val="21"/>
          <w:w w:val="95"/>
          <w:sz w:val="44"/>
          <w:szCs w:val="44"/>
          <w:lang w:eastAsia="zh-CN"/>
        </w:rPr>
        <w:t>安阳市</w:t>
      </w:r>
      <w:r>
        <w:rPr>
          <w:rFonts w:hint="eastAsia" w:ascii="方正小标宋简体" w:hAnsi="方正小标宋简体" w:eastAsia="方正小标宋简体" w:cs="方正小标宋简体"/>
          <w:b w:val="0"/>
          <w:bCs w:val="0"/>
          <w:color w:val="auto"/>
          <w:spacing w:val="21"/>
          <w:w w:val="95"/>
          <w:sz w:val="44"/>
          <w:szCs w:val="44"/>
          <w:lang w:val="en-US" w:eastAsia="zh-CN"/>
        </w:rPr>
        <w:t>北关</w:t>
      </w:r>
      <w:r>
        <w:rPr>
          <w:rFonts w:hint="eastAsia" w:ascii="方正小标宋简体" w:hAnsi="方正小标宋简体" w:eastAsia="方正小标宋简体" w:cs="方正小标宋简体"/>
          <w:b w:val="0"/>
          <w:bCs w:val="0"/>
          <w:color w:val="auto"/>
          <w:spacing w:val="21"/>
          <w:w w:val="95"/>
          <w:sz w:val="44"/>
          <w:szCs w:val="44"/>
          <w:lang w:eastAsia="zh-CN"/>
        </w:rPr>
        <w:t>区</w:t>
      </w:r>
      <w:r>
        <w:rPr>
          <w:rFonts w:hint="eastAsia" w:ascii="方正小标宋简体" w:hAnsi="方正小标宋简体" w:eastAsia="方正小标宋简体" w:cs="方正小标宋简体"/>
          <w:b w:val="0"/>
          <w:bCs w:val="0"/>
          <w:color w:val="auto"/>
          <w:spacing w:val="21"/>
          <w:w w:val="95"/>
          <w:sz w:val="44"/>
          <w:szCs w:val="44"/>
        </w:rPr>
        <w:t>农机购置与应用补贴</w:t>
      </w:r>
      <w:r>
        <w:rPr>
          <w:rFonts w:hint="eastAsia" w:ascii="方正小标宋简体" w:hAnsi="方正小标宋简体" w:eastAsia="方正小标宋简体" w:cs="方正小标宋简体"/>
          <w:b w:val="0"/>
          <w:bCs w:val="0"/>
          <w:color w:val="auto"/>
          <w:spacing w:val="20"/>
          <w:sz w:val="44"/>
          <w:szCs w:val="44"/>
        </w:rPr>
        <w:t>机具种类范围</w:t>
      </w:r>
    </w:p>
    <w:p w14:paraId="528E83FF">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PMingLiU" w:eastAsia="PMingLiU"/>
          <w:color w:val="auto"/>
          <w:w w:val="16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auto"/>
          <w:spacing w:val="-66"/>
          <w:sz w:val="32"/>
          <w:szCs w:val="32"/>
        </w:rPr>
        <w:t xml:space="preserve"> </w:t>
      </w:r>
      <w:r>
        <w:rPr>
          <w:rFonts w:hint="eastAsia" w:ascii="CESI楷体-GB2312" w:hAnsi="CESI楷体-GB2312" w:eastAsia="CESI楷体-GB2312" w:cs="CESI楷体-GB2312"/>
          <w:color w:val="auto"/>
          <w:spacing w:val="-1"/>
          <w:w w:val="80"/>
          <w:sz w:val="32"/>
          <w:szCs w:val="32"/>
          <w:lang w:val="en-US" w:eastAsia="zh-CN"/>
        </w:rPr>
        <w:t>46</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128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18B8B5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1.耕整地机械</w:t>
      </w:r>
    </w:p>
    <w:p w14:paraId="74F30ED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1.1 耕地机械</w:t>
      </w:r>
    </w:p>
    <w:p w14:paraId="383A03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1.1.1 犁</w:t>
      </w:r>
    </w:p>
    <w:p w14:paraId="60CF66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1.1.2 旋耕机</w:t>
      </w:r>
    </w:p>
    <w:p w14:paraId="4D8C7C5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1.1.3 微型耕耘机</w:t>
      </w:r>
    </w:p>
    <w:p w14:paraId="19DD91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1.1.4 耕整机</w:t>
      </w:r>
    </w:p>
    <w:p w14:paraId="506677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1.1.5 深松机</w:t>
      </w:r>
    </w:p>
    <w:p w14:paraId="4E2E57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1.1.6 开沟机</w:t>
      </w:r>
    </w:p>
    <w:p w14:paraId="4CAB35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1.1.7 </w:t>
      </w:r>
      <w:r>
        <w:rPr>
          <w:rFonts w:hint="eastAsia" w:ascii="仿宋_GB2312" w:hAnsi="仿宋_GB2312" w:eastAsia="仿宋_GB2312" w:cs="仿宋_GB2312"/>
          <w:color w:val="auto"/>
          <w:sz w:val="32"/>
          <w:szCs w:val="32"/>
        </w:rPr>
        <w:t>挖坑( 成穴) 机</w:t>
      </w:r>
    </w:p>
    <w:p w14:paraId="2555C9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1.2 整地机械</w:t>
      </w:r>
    </w:p>
    <w:p w14:paraId="742DE45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 耙（限圆盘耙、驱动耙）</w:t>
      </w:r>
    </w:p>
    <w:p w14:paraId="4CE479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1.2.2 埋茬起浆机</w:t>
      </w:r>
    </w:p>
    <w:p w14:paraId="33DA34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1.2.3 </w:t>
      </w:r>
      <w:r>
        <w:rPr>
          <w:rFonts w:hint="eastAsia" w:ascii="仿宋_GB2312" w:hAnsi="仿宋_GB2312" w:eastAsia="仿宋_GB2312" w:cs="仿宋_GB2312"/>
          <w:color w:val="auto"/>
          <w:spacing w:val="12"/>
          <w:sz w:val="32"/>
          <w:szCs w:val="32"/>
        </w:rPr>
        <w:t>起垄机</w:t>
      </w:r>
      <w:r>
        <w:rPr>
          <w:rFonts w:hint="eastAsia" w:ascii="CESI仿宋-GB2312" w:hAnsi="CESI仿宋-GB2312" w:eastAsia="CESI仿宋-GB2312" w:cs="CESI仿宋-GB2312"/>
          <w:color w:val="auto"/>
          <w:spacing w:val="15"/>
          <w:sz w:val="32"/>
          <w:szCs w:val="32"/>
          <w:lang w:val="en-US" w:eastAsia="zh-CN"/>
        </w:rPr>
        <w:t xml:space="preserve"> </w:t>
      </w:r>
    </w:p>
    <w:p w14:paraId="49EFB716">
      <w:pPr>
        <w:pStyle w:val="4"/>
        <w:keepNext w:val="0"/>
        <w:keepLines w:val="0"/>
        <w:pageBreakBefore w:val="0"/>
        <w:kinsoku/>
        <w:wordWrap/>
        <w:overflowPunct/>
        <w:topLinePunct w:val="0"/>
        <w:bidi w:val="0"/>
        <w:spacing w:before="182" w:line="560" w:lineRule="exac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1.2.4 </w:t>
      </w:r>
      <w:r>
        <w:rPr>
          <w:rFonts w:hint="eastAsia" w:ascii="仿宋_GB2312" w:hAnsi="仿宋_GB2312" w:eastAsia="仿宋_GB2312" w:cs="仿宋_GB2312"/>
          <w:color w:val="auto"/>
          <w:spacing w:val="12"/>
          <w:sz w:val="32"/>
          <w:szCs w:val="32"/>
        </w:rPr>
        <w:t>筑埂机</w:t>
      </w:r>
    </w:p>
    <w:p w14:paraId="432E23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1.2.5 </w:t>
      </w:r>
      <w:r>
        <w:rPr>
          <w:rFonts w:hint="eastAsia" w:ascii="仿宋_GB2312" w:hAnsi="仿宋_GB2312" w:eastAsia="仿宋_GB2312" w:cs="仿宋_GB2312"/>
          <w:color w:val="auto"/>
          <w:sz w:val="32"/>
          <w:szCs w:val="32"/>
        </w:rPr>
        <w:t>灭茬机( 不含平茬机</w:t>
      </w:r>
      <w:r>
        <w:rPr>
          <w:rFonts w:hint="eastAsia" w:ascii="仿宋_GB2312" w:hAnsi="仿宋_GB2312" w:eastAsia="仿宋_GB2312" w:cs="仿宋_GB2312"/>
          <w:color w:val="auto"/>
          <w:w w:val="85"/>
          <w:sz w:val="32"/>
          <w:szCs w:val="32"/>
        </w:rPr>
        <w:t>、</w:t>
      </w:r>
      <w:r>
        <w:rPr>
          <w:rFonts w:hint="eastAsia" w:ascii="仿宋_GB2312" w:hAnsi="仿宋_GB2312" w:eastAsia="仿宋_GB2312" w:cs="仿宋_GB2312"/>
          <w:color w:val="auto"/>
          <w:sz w:val="32"/>
          <w:szCs w:val="32"/>
        </w:rPr>
        <w:t>宿根整理机)</w:t>
      </w:r>
      <w:r>
        <w:rPr>
          <w:rFonts w:hint="eastAsia" w:ascii="CESI仿宋-GB2312" w:hAnsi="CESI仿宋-GB2312" w:eastAsia="CESI仿宋-GB2312" w:cs="CESI仿宋-GB2312"/>
          <w:color w:val="auto"/>
          <w:spacing w:val="15"/>
          <w:sz w:val="32"/>
          <w:szCs w:val="32"/>
          <w:lang w:val="en-US" w:eastAsia="zh-CN"/>
        </w:rPr>
        <w:t xml:space="preserve"> </w:t>
      </w:r>
    </w:p>
    <w:p w14:paraId="08C75F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1.2.6 </w:t>
      </w:r>
      <w:r>
        <w:rPr>
          <w:rFonts w:hint="eastAsia" w:ascii="仿宋_GB2312" w:hAnsi="仿宋_GB2312" w:eastAsia="仿宋_GB2312" w:cs="仿宋_GB2312"/>
          <w:color w:val="auto"/>
          <w:sz w:val="32"/>
          <w:szCs w:val="32"/>
        </w:rPr>
        <w:t>铺膜机</w:t>
      </w:r>
      <w:r>
        <w:rPr>
          <w:rFonts w:hint="eastAsia" w:ascii="CESI仿宋-GB2312" w:hAnsi="CESI仿宋-GB2312" w:eastAsia="CESI仿宋-GB2312" w:cs="CESI仿宋-GB2312"/>
          <w:color w:val="auto"/>
          <w:spacing w:val="15"/>
          <w:sz w:val="32"/>
          <w:szCs w:val="32"/>
          <w:lang w:val="en-US" w:eastAsia="zh-CN"/>
        </w:rPr>
        <w:t xml:space="preserve"> </w:t>
      </w:r>
    </w:p>
    <w:p w14:paraId="142BC4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1.3 耕整地联合作业机械（可含施肥功能）</w:t>
      </w:r>
    </w:p>
    <w:p w14:paraId="4910D4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1.3.1 联合整地机</w:t>
      </w:r>
    </w:p>
    <w:p w14:paraId="266287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1.3.2 深松整地联合作业机</w:t>
      </w:r>
    </w:p>
    <w:p w14:paraId="11B97DA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2.种植施肥机械</w:t>
      </w:r>
    </w:p>
    <w:p w14:paraId="55E429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2.1 种子播前处理和育苗机械设备</w:t>
      </w:r>
    </w:p>
    <w:p w14:paraId="44301C0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2.1.1 种子催芽机</w:t>
      </w:r>
    </w:p>
    <w:p w14:paraId="3725E4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2.1.2 苗床用土粉碎机</w:t>
      </w:r>
    </w:p>
    <w:p w14:paraId="171749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2.1.3 育秧（苗）播种设备</w:t>
      </w:r>
    </w:p>
    <w:p w14:paraId="19EFB55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2.1.4 营养钵压制机</w:t>
      </w:r>
    </w:p>
    <w:p w14:paraId="6F2E05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2.2 播种机械（可含施肥功能）</w:t>
      </w:r>
    </w:p>
    <w:p w14:paraId="6BEB2F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2.2.1 条播机</w:t>
      </w:r>
    </w:p>
    <w:p w14:paraId="7225C5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2.2.2 穴播机</w:t>
      </w:r>
    </w:p>
    <w:p w14:paraId="1ECD02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2.2.3 单粒（精密）播种机</w:t>
      </w:r>
    </w:p>
    <w:p w14:paraId="33458D2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2.2.4 根（块）茎种子播种机</w:t>
      </w:r>
    </w:p>
    <w:p w14:paraId="3704247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2.3 耕整地播种作业机械（可含施肥功能）</w:t>
      </w:r>
    </w:p>
    <w:p w14:paraId="1A9E400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2.3.1 旋耕播种机</w:t>
      </w:r>
    </w:p>
    <w:p w14:paraId="7A4375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2.3.2 铺膜（带）播种机</w:t>
      </w:r>
    </w:p>
    <w:p w14:paraId="1AF75C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2.3.3 秸秆还田整地播种机</w:t>
      </w:r>
    </w:p>
    <w:p w14:paraId="023FD9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2.4 栽植机械</w:t>
      </w:r>
    </w:p>
    <w:p w14:paraId="072143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2.4.1 插秧机</w:t>
      </w:r>
    </w:p>
    <w:p w14:paraId="5F2F148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2.4.2 抛秧机</w:t>
      </w:r>
    </w:p>
    <w:p w14:paraId="7EBF43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2.4.3 移栽机</w:t>
      </w:r>
    </w:p>
    <w:p w14:paraId="70CF6A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2.5 施肥机械</w:t>
      </w:r>
    </w:p>
    <w:p w14:paraId="4BBA75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2.5.1 施肥机</w:t>
      </w:r>
    </w:p>
    <w:p w14:paraId="657FFE8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2.5.2 撒（抛）肥机</w:t>
      </w:r>
    </w:p>
    <w:p w14:paraId="0F71E2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2.5.3 侧深施肥装置</w:t>
      </w:r>
    </w:p>
    <w:p w14:paraId="7FE182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3.田间管理机械</w:t>
      </w:r>
    </w:p>
    <w:p w14:paraId="633CF7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 xml:space="preserve">3.1 </w:t>
      </w:r>
      <w:r>
        <w:rPr>
          <w:rFonts w:hint="eastAsia" w:ascii="CESI楷体-GB2312" w:hAnsi="CESI楷体-GB2312" w:eastAsia="CESI楷体-GB2312" w:cs="CESI楷体-GB2312"/>
          <w:b/>
          <w:bCs/>
          <w:color w:val="auto"/>
          <w:spacing w:val="14"/>
          <w:sz w:val="32"/>
          <w:szCs w:val="32"/>
        </w:rPr>
        <w:t>中耕机械</w:t>
      </w:r>
    </w:p>
    <w:p w14:paraId="537B5E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3.1.1 </w:t>
      </w:r>
      <w:r>
        <w:rPr>
          <w:rFonts w:hint="eastAsia" w:ascii="仿宋_GB2312" w:hAnsi="仿宋_GB2312" w:eastAsia="仿宋_GB2312" w:cs="仿宋_GB2312"/>
          <w:color w:val="auto"/>
          <w:spacing w:val="14"/>
          <w:sz w:val="32"/>
          <w:szCs w:val="32"/>
        </w:rPr>
        <w:t>中耕机</w:t>
      </w:r>
      <w:r>
        <w:rPr>
          <w:rFonts w:hint="eastAsia" w:ascii="CESI仿宋-GB2312" w:hAnsi="CESI仿宋-GB2312" w:eastAsia="CESI仿宋-GB2312" w:cs="CESI仿宋-GB2312"/>
          <w:color w:val="auto"/>
          <w:spacing w:val="15"/>
          <w:sz w:val="32"/>
          <w:szCs w:val="32"/>
          <w:lang w:val="en-US" w:eastAsia="zh-CN"/>
        </w:rPr>
        <w:t xml:space="preserve"> </w:t>
      </w:r>
    </w:p>
    <w:p w14:paraId="7DE2A2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3.1.2 田园管理机</w:t>
      </w:r>
    </w:p>
    <w:p w14:paraId="5B8D95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3.1.3 割草机（含果园无人割草机）</w:t>
      </w:r>
    </w:p>
    <w:p w14:paraId="6FA7F08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3.2 植保机械</w:t>
      </w:r>
    </w:p>
    <w:p w14:paraId="77565F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3.2.1 喷雾机</w:t>
      </w:r>
    </w:p>
    <w:p w14:paraId="1A976C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3.2.2 农用（植保）无人驾驶航空器（可含撒播等功能）</w:t>
      </w:r>
    </w:p>
    <w:p w14:paraId="06AADB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3.3 修剪防护管理机械</w:t>
      </w:r>
    </w:p>
    <w:p w14:paraId="64CD70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3.3.1 修剪机</w:t>
      </w:r>
    </w:p>
    <w:p w14:paraId="225A5C3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3.3.2 枝条切碎机</w:t>
      </w:r>
    </w:p>
    <w:p w14:paraId="3D9B8DB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3.3.3 去雄机</w:t>
      </w:r>
    </w:p>
    <w:p w14:paraId="51C0C66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3.3.4 </w:t>
      </w:r>
      <w:r>
        <w:rPr>
          <w:rFonts w:hint="eastAsia" w:ascii="仿宋_GB2312" w:hAnsi="仿宋_GB2312" w:eastAsia="仿宋_GB2312" w:cs="仿宋_GB2312"/>
          <w:color w:val="auto"/>
          <w:spacing w:val="12"/>
          <w:sz w:val="32"/>
          <w:szCs w:val="32"/>
        </w:rPr>
        <w:t>埋藤机</w:t>
      </w:r>
    </w:p>
    <w:p w14:paraId="597496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3.3.5 农用升降作业平台</w:t>
      </w:r>
    </w:p>
    <w:p w14:paraId="320AD18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4.灌溉机械</w:t>
      </w:r>
    </w:p>
    <w:p w14:paraId="0A2948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4.1 喷灌机械</w:t>
      </w:r>
    </w:p>
    <w:p w14:paraId="552208D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4.1.1 喷灌机</w:t>
      </w:r>
    </w:p>
    <w:p w14:paraId="028EBFB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4.2 微灌设备</w:t>
      </w:r>
    </w:p>
    <w:p w14:paraId="7D6F90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4.2.1 微喷灌设备</w:t>
      </w:r>
    </w:p>
    <w:p w14:paraId="4FAA16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4.2.2 灌溉首部</w:t>
      </w:r>
    </w:p>
    <w:p w14:paraId="2F4ADD6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5.收获机械</w:t>
      </w:r>
    </w:p>
    <w:p w14:paraId="1AA269D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5.1 粮食作物收获机械</w:t>
      </w:r>
    </w:p>
    <w:p w14:paraId="441BEC3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5.1.1 割晒机</w:t>
      </w:r>
    </w:p>
    <w:p w14:paraId="51C68F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5.1.2 脱粒机</w:t>
      </w:r>
    </w:p>
    <w:p w14:paraId="797244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5.1.3 谷物联合收割机</w:t>
      </w:r>
    </w:p>
    <w:p w14:paraId="46B0F0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5.1.4 玉米收获机</w:t>
      </w:r>
    </w:p>
    <w:p w14:paraId="535429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5.1.5 薯类收获机</w:t>
      </w:r>
    </w:p>
    <w:p w14:paraId="553F67B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5.2 油料作物收获机械</w:t>
      </w:r>
    </w:p>
    <w:p w14:paraId="526D3E3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5.2.1 大豆收获机</w:t>
      </w:r>
    </w:p>
    <w:p w14:paraId="0E0844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5.2.2 花生收获机</w:t>
      </w:r>
    </w:p>
    <w:p w14:paraId="4515FBC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5.2.3 油菜籽收获机</w:t>
      </w:r>
    </w:p>
    <w:p w14:paraId="41393C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5.3 果菜茶烟草药收获机械</w:t>
      </w:r>
    </w:p>
    <w:p w14:paraId="6C3C84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5.3.1 叶类采收机</w:t>
      </w:r>
    </w:p>
    <w:p w14:paraId="08A40F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5.3.2 果类收获机</w:t>
      </w:r>
    </w:p>
    <w:p w14:paraId="515CFC8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5.3.3 瓜类采收机</w:t>
      </w:r>
    </w:p>
    <w:p w14:paraId="30F956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5.3.4 根（茎）类收获机</w:t>
      </w:r>
    </w:p>
    <w:p w14:paraId="13293A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5.4 秸秆收集处理机械</w:t>
      </w:r>
    </w:p>
    <w:p w14:paraId="03C17C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5.4.1 秸秆粉碎还田机</w:t>
      </w:r>
    </w:p>
    <w:p w14:paraId="0D6D96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5.5 收获割台</w:t>
      </w:r>
    </w:p>
    <w:p w14:paraId="7071BA5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5.5.1 大豆收获专用割台</w:t>
      </w:r>
    </w:p>
    <w:p w14:paraId="4450F1A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5.5.2 玉米收获专用割台</w:t>
      </w:r>
    </w:p>
    <w:p w14:paraId="3ECEFF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6.设施种植机械</w:t>
      </w:r>
    </w:p>
    <w:p w14:paraId="4E423EB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6.1 食用菌生产设备</w:t>
      </w:r>
    </w:p>
    <w:p w14:paraId="642814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6.1.1 菌料灭菌设备</w:t>
      </w:r>
    </w:p>
    <w:p w14:paraId="4FAA03B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6.1.2 菌料装瓶（袋）机</w:t>
      </w:r>
    </w:p>
    <w:p w14:paraId="043F9DB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7.田间监测及作业监控设备</w:t>
      </w:r>
    </w:p>
    <w:p w14:paraId="71FF0C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7.1 田间作业监控设备</w:t>
      </w:r>
    </w:p>
    <w:p w14:paraId="4D8E7E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7.1.1 辅助驾驶（系统）设备</w:t>
      </w:r>
    </w:p>
    <w:p w14:paraId="6DE33D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8.种植业废弃物处理设备</w:t>
      </w:r>
    </w:p>
    <w:p w14:paraId="13B008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8.1 农田废弃物收集设备</w:t>
      </w:r>
    </w:p>
    <w:p w14:paraId="39433BF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8.1.1 残膜回收机</w:t>
      </w:r>
    </w:p>
    <w:p w14:paraId="1845213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8.2 农作物废弃物处理设备</w:t>
      </w:r>
    </w:p>
    <w:p w14:paraId="1763BE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8.2.1 生物质气化设备</w:t>
      </w:r>
    </w:p>
    <w:p w14:paraId="5335EE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8.2.2 秸秆压块（粒、棒）机</w:t>
      </w:r>
    </w:p>
    <w:p w14:paraId="24FFA78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9.饲料（草）收获加工运输设备</w:t>
      </w:r>
    </w:p>
    <w:p w14:paraId="2E06E8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9.1 饲料（草）收获机械</w:t>
      </w:r>
    </w:p>
    <w:p w14:paraId="77D520B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9.1.1 割草（压扁）机</w:t>
      </w:r>
    </w:p>
    <w:p w14:paraId="7091845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9.1.2 搂草机</w:t>
      </w:r>
    </w:p>
    <w:p w14:paraId="06D975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9.1.3 打（压）捆机</w:t>
      </w:r>
    </w:p>
    <w:p w14:paraId="5AC391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9.1.4 草捆包膜机</w:t>
      </w:r>
    </w:p>
    <w:p w14:paraId="69DC5A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9.1.5 青（黄）饲料收获机</w:t>
      </w:r>
    </w:p>
    <w:p w14:paraId="67629B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9.1.6 打捆包膜机</w:t>
      </w:r>
    </w:p>
    <w:p w14:paraId="14DF821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9.2 饲料（草）加工机械</w:t>
      </w:r>
    </w:p>
    <w:p w14:paraId="15753B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9.2.1 铡草机</w:t>
      </w:r>
    </w:p>
    <w:p w14:paraId="063CC5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9.2.2 青贮切碎机</w:t>
      </w:r>
    </w:p>
    <w:p w14:paraId="663F09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9.2.3 饲料（草）粉碎机</w:t>
      </w:r>
    </w:p>
    <w:p w14:paraId="3EF060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9.2.4 颗粒饲料压制机</w:t>
      </w:r>
    </w:p>
    <w:p w14:paraId="0EEE21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9.2.5 饲料混合机</w:t>
      </w:r>
    </w:p>
    <w:p w14:paraId="37A5753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 xml:space="preserve">9.2.6 </w:t>
      </w:r>
      <w:r>
        <w:rPr>
          <w:rFonts w:hint="eastAsia" w:ascii="仿宋_GB2312" w:hAnsi="仿宋_GB2312" w:eastAsia="仿宋_GB2312" w:cs="仿宋_GB2312"/>
          <w:color w:val="auto"/>
          <w:sz w:val="32"/>
          <w:szCs w:val="32"/>
        </w:rPr>
        <w:t>饲料膨化机</w:t>
      </w:r>
    </w:p>
    <w:p w14:paraId="32BF00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9.2.7 全混合日粮制备机</w:t>
      </w:r>
    </w:p>
    <w:p w14:paraId="66E46EA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9.3 饲料（草）搬运机械</w:t>
      </w:r>
    </w:p>
    <w:p w14:paraId="1EAE97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9.3.1 饲草捆收集机</w:t>
      </w:r>
    </w:p>
    <w:p w14:paraId="211998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10.畜禽养殖机械</w:t>
      </w:r>
    </w:p>
    <w:p w14:paraId="038352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10.1 畜禽养殖成套设备</w:t>
      </w:r>
    </w:p>
    <w:p w14:paraId="3EB026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10.1.1 蜜蜂养殖设备</w:t>
      </w:r>
    </w:p>
    <w:p w14:paraId="2E7DF5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10.2 畜禽养殖消杀防疫机械</w:t>
      </w:r>
    </w:p>
    <w:p w14:paraId="76D168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10.2.1 药浴机</w:t>
      </w:r>
    </w:p>
    <w:p w14:paraId="69D73A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10.3 畜禽繁育设备</w:t>
      </w:r>
    </w:p>
    <w:p w14:paraId="463539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10.3.1 孵化机</w:t>
      </w:r>
    </w:p>
    <w:p w14:paraId="4DD450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10.4 饲养设备</w:t>
      </w:r>
    </w:p>
    <w:p w14:paraId="6D39E0A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10.4.1 喂（送）料机</w:t>
      </w:r>
    </w:p>
    <w:p w14:paraId="0DEEC9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11.畜禽产品采集储运设备</w:t>
      </w:r>
    </w:p>
    <w:p w14:paraId="051E8A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11.1 畜禽产品采集设备</w:t>
      </w:r>
    </w:p>
    <w:p w14:paraId="69EB3E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11.1.1 挤奶机</w:t>
      </w:r>
    </w:p>
    <w:p w14:paraId="3E7F54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11.1.2 生鲜乳速冷设备</w:t>
      </w:r>
    </w:p>
    <w:p w14:paraId="4B1751F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11.1.3 散装乳冷藏罐</w:t>
      </w:r>
    </w:p>
    <w:p w14:paraId="252A6F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11.2 畜禽产品储运设备</w:t>
      </w:r>
    </w:p>
    <w:p w14:paraId="48A25A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11.2.1 储奶罐</w:t>
      </w:r>
    </w:p>
    <w:p w14:paraId="33CA77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12.畜禽养殖废弃物及病死畜禽处理设备</w:t>
      </w:r>
    </w:p>
    <w:p w14:paraId="22FF66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12.1 畜禽粪污资源化利用设备</w:t>
      </w:r>
    </w:p>
    <w:p w14:paraId="6A72FB3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12.1.1 清粪机</w:t>
      </w:r>
    </w:p>
    <w:p w14:paraId="1A8950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12.1.2 畜禽粪污固液分离机</w:t>
      </w:r>
    </w:p>
    <w:p w14:paraId="70282A6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12.1.3 畜禽粪便发酵处理设备</w:t>
      </w:r>
    </w:p>
    <w:p w14:paraId="5F1913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12.1.4 畜禽粪便干燥设备</w:t>
      </w:r>
    </w:p>
    <w:p w14:paraId="5F7F71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12.1.5 畜禽粪便翻堆设备</w:t>
      </w:r>
    </w:p>
    <w:p w14:paraId="39DDB46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12.1.6 沼液沼渣抽排设备</w:t>
      </w:r>
    </w:p>
    <w:p w14:paraId="16D6870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12.2 病死畜禽储运及处理设备</w:t>
      </w:r>
    </w:p>
    <w:p w14:paraId="0D8EFD9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12.2.1 病死畜禽处理设备</w:t>
      </w:r>
    </w:p>
    <w:p w14:paraId="1EC395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13.水产养殖机械</w:t>
      </w:r>
    </w:p>
    <w:p w14:paraId="4EE004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13.1 投饲机械</w:t>
      </w:r>
    </w:p>
    <w:p w14:paraId="6D1CF5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13.1.1 投（饲）饵机</w:t>
      </w:r>
    </w:p>
    <w:p w14:paraId="2A46A7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13.2 水质调控设备</w:t>
      </w:r>
    </w:p>
    <w:p w14:paraId="40A92A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13.2.1 增氧机</w:t>
      </w:r>
    </w:p>
    <w:p w14:paraId="6E28ECB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13.2.2 水质调控监控设备</w:t>
      </w:r>
    </w:p>
    <w:p w14:paraId="5E3113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14.种子初加工机械</w:t>
      </w:r>
    </w:p>
    <w:p w14:paraId="6184E0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14.1 种子初加工机械</w:t>
      </w:r>
    </w:p>
    <w:p w14:paraId="0C46E5E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14.1.1 种子清选机</w:t>
      </w:r>
    </w:p>
    <w:p w14:paraId="0CCE63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14.1.2 种子包衣机</w:t>
      </w:r>
    </w:p>
    <w:p w14:paraId="73C658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15.粮油糖初加工机械</w:t>
      </w:r>
    </w:p>
    <w:p w14:paraId="485B82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15.1 粮食初加工机械</w:t>
      </w:r>
    </w:p>
    <w:p w14:paraId="1FE596B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15.1.1 粮食清选机</w:t>
      </w:r>
    </w:p>
    <w:p w14:paraId="109AD6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15.1.2 谷物（粮食）干燥机</w:t>
      </w:r>
    </w:p>
    <w:p w14:paraId="1A1658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15.1.3 碾米机</w:t>
      </w:r>
    </w:p>
    <w:p w14:paraId="00B876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15.1.4 粮食色选机</w:t>
      </w:r>
    </w:p>
    <w:p w14:paraId="7C1403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15.1.5 磨粉机</w:t>
      </w:r>
    </w:p>
    <w:p w14:paraId="79F5D9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15.1.6 磨浆机</w:t>
      </w:r>
    </w:p>
    <w:p w14:paraId="768602C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15.2 油料初加工机械</w:t>
      </w:r>
    </w:p>
    <w:p w14:paraId="24829B9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15.2.1 油菜籽干燥机</w:t>
      </w:r>
    </w:p>
    <w:p w14:paraId="1BDD20F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15.2.2 油料果（籽）脱（剥）壳机</w:t>
      </w:r>
    </w:p>
    <w:p w14:paraId="476F4F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16.果菜茶初加工机械</w:t>
      </w:r>
    </w:p>
    <w:p w14:paraId="2CA6EB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16.1 果蔬初加工机械</w:t>
      </w:r>
    </w:p>
    <w:p w14:paraId="615FBE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16.1.1 果蔬分级机</w:t>
      </w:r>
    </w:p>
    <w:p w14:paraId="767743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16.1.2 果蔬清洗机</w:t>
      </w:r>
    </w:p>
    <w:p w14:paraId="19A6C6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16.1.3 水果打蜡机</w:t>
      </w:r>
    </w:p>
    <w:p w14:paraId="53EAB92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16.1.4 果蔬干燥机</w:t>
      </w:r>
    </w:p>
    <w:p w14:paraId="6DACA9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16.1.5 干坚果脱壳机</w:t>
      </w:r>
    </w:p>
    <w:p w14:paraId="385034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16.1.6 果蔬去籽（核）机</w:t>
      </w:r>
    </w:p>
    <w:p w14:paraId="5AD39A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16.1.7 果蔬冷藏保鲜设备</w:t>
      </w:r>
    </w:p>
    <w:p w14:paraId="45EA09D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17.农用动力机械</w:t>
      </w:r>
    </w:p>
    <w:p w14:paraId="63C912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17.1 拖拉机</w:t>
      </w:r>
    </w:p>
    <w:p w14:paraId="0146D2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17.1.1 轮式拖拉机</w:t>
      </w:r>
    </w:p>
    <w:p w14:paraId="25BAC17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17.1.2 手扶拖拉机</w:t>
      </w:r>
    </w:p>
    <w:p w14:paraId="6D6A76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17.1.3 履带式拖拉机</w:t>
      </w:r>
    </w:p>
    <w:p w14:paraId="75F2A0C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18.农用搬运机械</w:t>
      </w:r>
    </w:p>
    <w:p w14:paraId="25D441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18.1 农用运输机械</w:t>
      </w:r>
    </w:p>
    <w:p w14:paraId="60AA7D7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18.1.1 田间搬运机</w:t>
      </w:r>
    </w:p>
    <w:p w14:paraId="6BB2A39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18.1.2 轨道运输机</w:t>
      </w:r>
    </w:p>
    <w:p w14:paraId="33D2C9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19.农用水泵</w:t>
      </w:r>
    </w:p>
    <w:p w14:paraId="7B03CF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19.1 农用水泵</w:t>
      </w:r>
    </w:p>
    <w:p w14:paraId="4A2065A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19.1.1 潜水电泵</w:t>
      </w:r>
    </w:p>
    <w:p w14:paraId="4A62BA9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19.1.2 地面泵（机组）</w:t>
      </w:r>
    </w:p>
    <w:p w14:paraId="7D6B74C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20.设施环境控制设备</w:t>
      </w:r>
    </w:p>
    <w:p w14:paraId="5901A8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20.1 设施环境控制设备</w:t>
      </w:r>
    </w:p>
    <w:p w14:paraId="23F9420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20.1.1 拉幕（卷帘）设备</w:t>
      </w:r>
    </w:p>
    <w:p w14:paraId="34C3EE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20.1.2 加温设备</w:t>
      </w:r>
    </w:p>
    <w:p w14:paraId="5013CF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20.1.3 湿帘降温设备</w:t>
      </w:r>
    </w:p>
    <w:p w14:paraId="0AA09C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21.农田基本建设机械</w:t>
      </w:r>
    </w:p>
    <w:p w14:paraId="5EE8E5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21.1 平地机械（限与拖拉机配套）</w:t>
      </w:r>
    </w:p>
    <w:p w14:paraId="321CF0E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21.1.1 平地机</w:t>
      </w:r>
    </w:p>
    <w:p w14:paraId="7D8995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21.2 清理机械</w:t>
      </w:r>
    </w:p>
    <w:p w14:paraId="4155EC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21.2.1 捡（清）石机</w:t>
      </w:r>
    </w:p>
    <w:p w14:paraId="0B1DF2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黑体-GB2312" w:hAnsi="CESI黑体-GB2312" w:eastAsia="CESI黑体-GB2312" w:cs="CESI黑体-GB2312"/>
          <w:color w:val="auto"/>
          <w:spacing w:val="15"/>
          <w:sz w:val="32"/>
          <w:szCs w:val="32"/>
          <w:lang w:val="en-US" w:eastAsia="zh-CN"/>
        </w:rPr>
      </w:pPr>
      <w:r>
        <w:rPr>
          <w:rFonts w:hint="eastAsia" w:ascii="CESI黑体-GB2312" w:hAnsi="CESI黑体-GB2312" w:eastAsia="CESI黑体-GB2312" w:cs="CESI黑体-GB2312"/>
          <w:color w:val="auto"/>
          <w:spacing w:val="15"/>
          <w:sz w:val="32"/>
          <w:szCs w:val="32"/>
          <w:lang w:val="en-US" w:eastAsia="zh-CN"/>
        </w:rPr>
        <w:t>22.其他农业机械</w:t>
      </w:r>
    </w:p>
    <w:p w14:paraId="0C87A4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楷体-GB2312" w:hAnsi="CESI楷体-GB2312" w:eastAsia="CESI楷体-GB2312" w:cs="CESI楷体-GB2312"/>
          <w:b/>
          <w:bCs/>
          <w:color w:val="auto"/>
          <w:spacing w:val="15"/>
          <w:sz w:val="32"/>
          <w:szCs w:val="32"/>
          <w:lang w:val="en-US" w:eastAsia="zh-CN"/>
        </w:rPr>
      </w:pPr>
      <w:r>
        <w:rPr>
          <w:rFonts w:hint="eastAsia" w:ascii="CESI楷体-GB2312" w:hAnsi="CESI楷体-GB2312" w:eastAsia="CESI楷体-GB2312" w:cs="CESI楷体-GB2312"/>
          <w:b/>
          <w:bCs/>
          <w:color w:val="auto"/>
          <w:spacing w:val="15"/>
          <w:sz w:val="32"/>
          <w:szCs w:val="32"/>
          <w:lang w:val="en-US" w:eastAsia="zh-CN"/>
        </w:rPr>
        <w:t>22.1其他农业机械</w:t>
      </w:r>
    </w:p>
    <w:p w14:paraId="743BB7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r>
        <w:rPr>
          <w:rFonts w:hint="eastAsia" w:ascii="CESI仿宋-GB2312" w:hAnsi="CESI仿宋-GB2312" w:eastAsia="CESI仿宋-GB2312" w:cs="CESI仿宋-GB2312"/>
          <w:color w:val="auto"/>
          <w:spacing w:val="15"/>
          <w:sz w:val="32"/>
          <w:szCs w:val="32"/>
          <w:lang w:val="en-US" w:eastAsia="zh-CN"/>
        </w:rPr>
        <w:t>22.1.1水井钻机</w:t>
      </w:r>
    </w:p>
    <w:p w14:paraId="0B1033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p>
    <w:p w14:paraId="7747DE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p>
    <w:p w14:paraId="0ECBB5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p>
    <w:p w14:paraId="5079B5B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p>
    <w:p w14:paraId="19FE76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60" w:lineRule="exact"/>
        <w:ind w:left="731" w:leftChars="0" w:right="0" w:rightChars="0"/>
        <w:jc w:val="left"/>
        <w:textAlignment w:val="auto"/>
        <w:rPr>
          <w:rFonts w:hint="eastAsia" w:ascii="CESI仿宋-GB2312" w:hAnsi="CESI仿宋-GB2312" w:eastAsia="CESI仿宋-GB2312" w:cs="CESI仿宋-GB2312"/>
          <w:color w:val="auto"/>
          <w:spacing w:val="15"/>
          <w:sz w:val="32"/>
          <w:szCs w:val="32"/>
          <w:lang w:val="en-US" w:eastAsia="zh-CN"/>
        </w:rPr>
      </w:pPr>
    </w:p>
    <w:p w14:paraId="13A390F3"/>
    <w:p w14:paraId="06AF684E">
      <w:pPr>
        <w:spacing w:line="590" w:lineRule="exact"/>
        <w:jc w:val="both"/>
        <w:rPr>
          <w:rFonts w:hint="eastAsia" w:ascii="仿宋_GB2312" w:hAnsi="仿宋_GB2312" w:eastAsia="仿宋_GB2312" w:cs="仿宋_GB2312"/>
          <w:bCs/>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F95D">
    <w:pPr>
      <w:pStyle w:val="5"/>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5C8517">
                          <w:pPr>
                            <w:pStyle w:val="5"/>
                            <w:rPr>
                              <w:rStyle w:val="10"/>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10"/>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10"/>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F5C8517">
                    <w:pPr>
                      <w:pStyle w:val="5"/>
                      <w:rPr>
                        <w:rStyle w:val="10"/>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10"/>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10"/>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IyZmU0MGQ5MWY1YTA1MmQzYmY5M2M4ZWZhNjUifQ=="/>
  </w:docVars>
  <w:rsids>
    <w:rsidRoot w:val="00000000"/>
    <w:rsid w:val="005860ED"/>
    <w:rsid w:val="02D11EFD"/>
    <w:rsid w:val="092959CA"/>
    <w:rsid w:val="0BEF523F"/>
    <w:rsid w:val="0CCA1272"/>
    <w:rsid w:val="0CD87EC4"/>
    <w:rsid w:val="0DF447F8"/>
    <w:rsid w:val="10CB04EA"/>
    <w:rsid w:val="110E49AB"/>
    <w:rsid w:val="111156C1"/>
    <w:rsid w:val="14681327"/>
    <w:rsid w:val="15FC1245"/>
    <w:rsid w:val="16C1557E"/>
    <w:rsid w:val="172634B4"/>
    <w:rsid w:val="178047A8"/>
    <w:rsid w:val="1BC218BC"/>
    <w:rsid w:val="1CB25FAA"/>
    <w:rsid w:val="1EA23DFC"/>
    <w:rsid w:val="1ED75A22"/>
    <w:rsid w:val="21A048EE"/>
    <w:rsid w:val="23452FA8"/>
    <w:rsid w:val="249E6E14"/>
    <w:rsid w:val="274E4B21"/>
    <w:rsid w:val="27F43935"/>
    <w:rsid w:val="29484DBF"/>
    <w:rsid w:val="2BC0425A"/>
    <w:rsid w:val="2BCA5BA0"/>
    <w:rsid w:val="2EF3088B"/>
    <w:rsid w:val="2F212B1B"/>
    <w:rsid w:val="2F342F5C"/>
    <w:rsid w:val="2F4C323D"/>
    <w:rsid w:val="307C11C0"/>
    <w:rsid w:val="312F5948"/>
    <w:rsid w:val="319E7BAE"/>
    <w:rsid w:val="32333292"/>
    <w:rsid w:val="32A72677"/>
    <w:rsid w:val="37053469"/>
    <w:rsid w:val="373A0C1E"/>
    <w:rsid w:val="37921138"/>
    <w:rsid w:val="37A1383F"/>
    <w:rsid w:val="39986FE1"/>
    <w:rsid w:val="3A32589B"/>
    <w:rsid w:val="3C4C0972"/>
    <w:rsid w:val="46352E24"/>
    <w:rsid w:val="47573126"/>
    <w:rsid w:val="514D179B"/>
    <w:rsid w:val="51FA74D0"/>
    <w:rsid w:val="52B430B6"/>
    <w:rsid w:val="56B04601"/>
    <w:rsid w:val="56E3500E"/>
    <w:rsid w:val="589A707B"/>
    <w:rsid w:val="5A1F7263"/>
    <w:rsid w:val="5C062892"/>
    <w:rsid w:val="614D0B2B"/>
    <w:rsid w:val="61E84C4F"/>
    <w:rsid w:val="67210824"/>
    <w:rsid w:val="6A5325EF"/>
    <w:rsid w:val="6F810699"/>
    <w:rsid w:val="705234B1"/>
    <w:rsid w:val="72876356"/>
    <w:rsid w:val="72FA3F44"/>
    <w:rsid w:val="73085223"/>
    <w:rsid w:val="73740A39"/>
    <w:rsid w:val="7682521B"/>
    <w:rsid w:val="77AE6487"/>
    <w:rsid w:val="78E421BD"/>
    <w:rsid w:val="79C93160"/>
    <w:rsid w:val="7A7C6B6B"/>
    <w:rsid w:val="7C701FB9"/>
    <w:rsid w:val="7D3A4DF9"/>
    <w:rsid w:val="7D4F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8">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styleId="11">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6459</Words>
  <Characters>7273</Characters>
  <Lines>0</Lines>
  <Paragraphs>0</Paragraphs>
  <TotalTime>13</TotalTime>
  <ScaleCrop>false</ScaleCrop>
  <LinksUpToDate>false</LinksUpToDate>
  <CharactersWithSpaces>7490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LENOVO</cp:lastModifiedBy>
  <cp:lastPrinted>2024-11-13T01:13:00Z</cp:lastPrinted>
  <dcterms:modified xsi:type="dcterms:W3CDTF">2024-12-04T01:25:12Z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682F1D48947F4E47A6EC950730C92BAB</vt:lpwstr>
  </property>
</Properties>
</file>