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BBD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漯河市郾城区2025年农业机械报废更新补贴实施通告</w:t>
      </w:r>
    </w:p>
    <w:p w14:paraId="29389856">
      <w:pPr>
        <w:jc w:val="center"/>
        <w:rPr>
          <w:sz w:val="36"/>
          <w:szCs w:val="36"/>
        </w:rPr>
      </w:pPr>
    </w:p>
    <w:p w14:paraId="5BB94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为加大对耗能高、污染重、安全性能低的老旧农机淘汰力度，推动农业机械化转型升级，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根据河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南省农业农村厅等四部门联合印发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《关于实施好2025年农业机械报废更新补贴政策的通知》豫农文〔2025〕218号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郾城区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农业机械报废更新补贴实施方案》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郾农机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文件要求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，结合我区实际，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报废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更新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补贴事宜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告如下：</w:t>
      </w:r>
    </w:p>
    <w:p w14:paraId="61B65542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一、补贴对象：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补贴对象为从事农业生产的农民和农业生产经营组织，农业生产经营组织包括农村集体经济组织、农民专业合作经济组织、农业企业和其他从事农业生产经营的组织。</w:t>
      </w:r>
    </w:p>
    <w:p w14:paraId="5BC2C8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二、实施范围、补贴资金及补贴标准：</w:t>
      </w:r>
      <w:r>
        <w:rPr>
          <w:rFonts w:hint="eastAsia" w:ascii="仿宋" w:hAnsi="仿宋" w:eastAsia="仿宋" w:cs="仿宋"/>
          <w:sz w:val="32"/>
          <w:szCs w:val="32"/>
        </w:rPr>
        <w:t>农机报废更新补贴政策在全区所有镇、街道（含黑龙潭镇）实施，农机报废更新补贴资金来源为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超长期特别国债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农业机械报废更新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专项资金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，省级配套资金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共计农机报废更新补贴资金7万元。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报废补贴实行定额补贴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(详见附件1)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本年度后续项目资金，根据省市主管部门下拨实际情况按照本通告执行。</w:t>
      </w:r>
    </w:p>
    <w:p w14:paraId="7E118F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三、报废补贴种类：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郾城区农机</w:t>
      </w:r>
      <w:r>
        <w:rPr>
          <w:rFonts w:hint="eastAsia" w:ascii="仿宋" w:hAnsi="仿宋" w:eastAsia="仿宋" w:cs="仿宋"/>
          <w:sz w:val="32"/>
          <w:szCs w:val="32"/>
        </w:rPr>
        <w:t>报废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种类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2025年河南省农机报废补贴额一览表执行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(详见附件1)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。</w:t>
      </w:r>
    </w:p>
    <w:p w14:paraId="18330A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四、报废补贴条件：</w:t>
      </w:r>
      <w:r>
        <w:rPr>
          <w:rFonts w:hint="eastAsia" w:ascii="仿宋" w:hAnsi="仿宋" w:eastAsia="仿宋" w:cs="仿宋"/>
          <w:sz w:val="32"/>
          <w:szCs w:val="32"/>
        </w:rPr>
        <w:t>申请报废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更新</w:t>
      </w:r>
      <w:r>
        <w:rPr>
          <w:rFonts w:hint="eastAsia" w:ascii="仿宋" w:hAnsi="仿宋" w:eastAsia="仿宋" w:cs="仿宋"/>
          <w:sz w:val="32"/>
          <w:szCs w:val="32"/>
        </w:rPr>
        <w:t>补贴的农机发动机等主要部件应齐全，来源清楚合法，机主（指合法拥有机具的从事农业生产的农民和农业生产经营组织，以下统称“机主”）应就机具来源、归属等做出书面承诺；纳入牌证管理的农机需要提供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牌证管理部门</w:t>
      </w:r>
      <w:r>
        <w:rPr>
          <w:rFonts w:hint="eastAsia" w:ascii="仿宋" w:hAnsi="仿宋" w:eastAsia="仿宋" w:cs="仿宋"/>
          <w:sz w:val="32"/>
          <w:szCs w:val="32"/>
        </w:rPr>
        <w:t>核发的牌证；无牌证或未纳入牌证管理的，应当具有铭牌或出厂编号、车架号等机具身份信息，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申请农用</w:t>
      </w:r>
      <w:r>
        <w:rPr>
          <w:rFonts w:hint="eastAsia" w:ascii="仿宋" w:hAnsi="仿宋" w:eastAsia="仿宋" w:cs="仿宋"/>
          <w:sz w:val="32"/>
          <w:szCs w:val="32"/>
        </w:rPr>
        <w:t>北斗辅助驾驶系统、田间作业监测终端、植保无人机这三类机具报废补贴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要以购置同种类新机具为前提。根据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农业机械</w:t>
      </w:r>
      <w:r>
        <w:rPr>
          <w:rFonts w:hint="eastAsia" w:ascii="仿宋" w:hAnsi="仿宋" w:eastAsia="仿宋" w:cs="仿宋"/>
          <w:sz w:val="32"/>
          <w:szCs w:val="32"/>
        </w:rPr>
        <w:t>报废相关标准，除满足上述条件外，申请补贴的报废农机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还要符合下列条件之一：</w:t>
      </w:r>
    </w:p>
    <w:p w14:paraId="55E5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达到报废年限的。小型拖拉机报废年限为10年、大中型拖拉机报废年限为15年、履带拖拉机报废年限为12年、自走式联合收割机报废年限为12年、悬挂式玉米联合收割机报废年限为10年、饲料（草）粉碎机报废年限为10年、玉米脱粒机报废年限为8年、花生摘果机报废年限为8年、铡草机报废年限为10年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虽未达到报废年限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但安全隐患大、故障发生率高、损毁严重、维修成本高、技术落后的农机；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国家明令淘汰的农机。</w:t>
      </w:r>
    </w:p>
    <w:p w14:paraId="24F37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对于</w:t>
      </w:r>
      <w:r>
        <w:rPr>
          <w:rFonts w:hint="eastAsia" w:ascii="仿宋" w:hAnsi="仿宋" w:eastAsia="仿宋" w:cs="仿宋"/>
          <w:sz w:val="32"/>
          <w:szCs w:val="32"/>
        </w:rPr>
        <w:t>改装拼装、严重残缺、来历不明，铭牌或出厂编号、车架号、发动机号等身份信息均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的农机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，不予受理。</w:t>
      </w:r>
    </w:p>
    <w:p w14:paraId="4BC6E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报废补贴程序：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）报废旧机。</w:t>
      </w:r>
      <w:r>
        <w:rPr>
          <w:rFonts w:hint="eastAsia" w:ascii="仿宋" w:hAnsi="仿宋" w:eastAsia="仿宋" w:cs="仿宋"/>
          <w:sz w:val="32"/>
          <w:szCs w:val="32"/>
        </w:rPr>
        <w:t>机主自愿将拟报废的农机交售给回收拆解企业，同时向机主所在地农机部门备案，如实提供相关信息并签署承诺书，回收拆解企业应当核对机主和拟报废的农机信息，向机主出具报废农业机械回收确认表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回收拆解企业要及时对回收的农机进行拆解并建立档案，对国家禁止生产销售的发动机等部件进行破坏性处理。拆解档案应包括铭牌和其它能体现农机身份的原始资料，保存期3年以上。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农机主管部门应对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辖区内农机</w:t>
      </w:r>
      <w:r>
        <w:rPr>
          <w:rFonts w:hint="eastAsia" w:ascii="仿宋" w:hAnsi="仿宋" w:eastAsia="仿宋" w:cs="仿宋"/>
          <w:sz w:val="32"/>
          <w:szCs w:val="32"/>
        </w:rPr>
        <w:t>回收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报废</w:t>
      </w:r>
      <w:r>
        <w:rPr>
          <w:rFonts w:hint="eastAsia" w:ascii="仿宋" w:hAnsi="仿宋" w:eastAsia="仿宋" w:cs="仿宋"/>
          <w:sz w:val="32"/>
          <w:szCs w:val="32"/>
        </w:rPr>
        <w:t>拆解企业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工作开展</w:t>
      </w:r>
      <w:r>
        <w:rPr>
          <w:rFonts w:hint="eastAsia" w:ascii="仿宋" w:hAnsi="仿宋" w:eastAsia="仿宋" w:cs="仿宋"/>
          <w:sz w:val="32"/>
          <w:szCs w:val="32"/>
        </w:rPr>
        <w:t>进行监督，督促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回收报废拆解企业严格按照流程开展工作，并认真建档</w:t>
      </w:r>
      <w:r>
        <w:rPr>
          <w:rFonts w:hint="eastAsia" w:ascii="仿宋" w:hAnsi="仿宋" w:eastAsia="仿宋" w:cs="仿宋"/>
          <w:sz w:val="32"/>
          <w:szCs w:val="32"/>
        </w:rPr>
        <w:t>留存好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相关图片和视频</w:t>
      </w:r>
      <w:r>
        <w:rPr>
          <w:rFonts w:hint="eastAsia" w:ascii="仿宋" w:hAnsi="仿宋" w:eastAsia="仿宋" w:cs="仿宋"/>
          <w:sz w:val="32"/>
          <w:szCs w:val="32"/>
        </w:rPr>
        <w:t>资料。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）注销登记。</w:t>
      </w:r>
      <w:r>
        <w:rPr>
          <w:rFonts w:hint="eastAsia" w:ascii="仿宋" w:hAnsi="仿宋" w:eastAsia="仿宋" w:cs="仿宋"/>
          <w:sz w:val="32"/>
          <w:szCs w:val="32"/>
        </w:rPr>
        <w:t>纳入牌证管理的拖拉机和联合收割机机主持《确认表》和相关证照，到当地负责农机牌证管理的机构依法办理牌证注销手续。相关机构核对机主和报废农机信息后，依法办理牌证注销手续，并在《确认表》上签注“已办理注销登记”字样。无牌证或未纳入牌证管理的报废农机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农机主管部门在《确认表》上签注“无牌证或未纳入牌证管理，已确认拆解”字样。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）兑现补贴。</w:t>
      </w:r>
      <w:r>
        <w:rPr>
          <w:rFonts w:hint="eastAsia" w:ascii="仿宋" w:hAnsi="仿宋" w:eastAsia="仿宋" w:cs="仿宋"/>
          <w:sz w:val="32"/>
          <w:szCs w:val="32"/>
        </w:rPr>
        <w:t>机主凭有效的《确认表》，按照相关规定申请补贴。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农机主管部门、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财政部门按职责分工进行审核，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经审核、公示无异议后，区</w:t>
      </w:r>
      <w:r>
        <w:rPr>
          <w:rFonts w:hint="eastAsia" w:ascii="仿宋" w:hAnsi="仿宋" w:eastAsia="仿宋" w:cs="仿宋"/>
          <w:sz w:val="32"/>
          <w:szCs w:val="32"/>
        </w:rPr>
        <w:t>财政部门向符合要求的机主兑现补贴资金。</w:t>
      </w:r>
    </w:p>
    <w:p w14:paraId="4A4C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六、农机报废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补贴申请材料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及社保卡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2份（正反两面）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农业机械报废承诺书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拟报废农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机具铭牌照片、发动机铭牌照片及其他机具证明材料（报废机具铭牌不能自行拆卸，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否则不予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办理）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694E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、农机报废申请备案地点：</w:t>
      </w:r>
      <w:r>
        <w:rPr>
          <w:rFonts w:hint="eastAsia" w:ascii="仿宋" w:hAnsi="仿宋" w:eastAsia="仿宋" w:cs="仿宋"/>
          <w:sz w:val="32"/>
          <w:szCs w:val="32"/>
        </w:rPr>
        <w:t>漯河市郾城区农业机械技术中心购置补贴大厅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E1549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、农机报废申请时间：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日开始申请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</w:t>
      </w:r>
      <w:r>
        <w:rPr>
          <w:rFonts w:hint="eastAsia" w:ascii="仿宋" w:hAnsi="仿宋" w:eastAsia="仿宋" w:cs="仿宋"/>
          <w:sz w:val="32"/>
          <w:szCs w:val="32"/>
        </w:rPr>
        <w:t>金用完为止。</w:t>
      </w:r>
    </w:p>
    <w:p w14:paraId="0A2711F3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九、回收企业:</w:t>
      </w:r>
    </w:p>
    <w:p w14:paraId="4C172C3E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漯河市物资再生利用有限公司</w:t>
      </w:r>
    </w:p>
    <w:p w14:paraId="5444E5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地点：河南省漯河市郾城区纬十路东段。</w:t>
      </w:r>
    </w:p>
    <w:p w14:paraId="61A77F2E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联系人：孙新安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联系电话：13346866666</w:t>
      </w:r>
    </w:p>
    <w:p w14:paraId="79BFB135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漯河市路通达农业机械维修有限公司</w:t>
      </w:r>
    </w:p>
    <w:p w14:paraId="6A28521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地点：召陵区青年镇派出所西500米路南。</w:t>
      </w:r>
    </w:p>
    <w:p w14:paraId="19DF47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联系人：谢国宾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联系电话：13939554539</w:t>
      </w:r>
    </w:p>
    <w:p w14:paraId="5A49F247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临颍县志营农业机械维修有限公司</w:t>
      </w:r>
    </w:p>
    <w:p w14:paraId="4699D46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地址：临颍县大郭乡葛岗村康复诊所对面137号</w:t>
      </w:r>
    </w:p>
    <w:p w14:paraId="2B8B43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联系人：陈志营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联系电话：13839531825</w:t>
      </w:r>
    </w:p>
    <w:p w14:paraId="1137EB7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FF2405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咨询电话：0395-6671277</w:t>
      </w:r>
    </w:p>
    <w:p w14:paraId="5817C6E3">
      <w:pPr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监督电话：0395-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6671877</w:t>
      </w:r>
    </w:p>
    <w:p w14:paraId="4163E7C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2025年河南省农机报废种类及补贴额一览表</w:t>
      </w:r>
    </w:p>
    <w:p w14:paraId="6C3FC1E9">
      <w:pPr>
        <w:rPr>
          <w:rFonts w:hint="eastAsia" w:ascii="仿宋" w:hAnsi="仿宋" w:eastAsia="仿宋" w:cs="仿宋"/>
          <w:sz w:val="32"/>
          <w:szCs w:val="32"/>
        </w:rPr>
      </w:pPr>
    </w:p>
    <w:p w14:paraId="48A498CC">
      <w:pPr>
        <w:rPr>
          <w:rFonts w:hint="eastAsia" w:ascii="仿宋" w:hAnsi="仿宋" w:eastAsia="仿宋" w:cs="仿宋"/>
          <w:sz w:val="32"/>
          <w:szCs w:val="32"/>
        </w:rPr>
      </w:pPr>
    </w:p>
    <w:p w14:paraId="0F0B818F"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漯河市郾城区农业机械技术中心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漯河市郾城区财政局</w:t>
      </w:r>
    </w:p>
    <w:p w14:paraId="198F207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 w14:paraId="03A09879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62E066B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</w:p>
    <w:p w14:paraId="790B5D90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</w:p>
    <w:p w14:paraId="41939BE4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</w:p>
    <w:p w14:paraId="4F4E6149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附件1</w:t>
      </w:r>
    </w:p>
    <w:p w14:paraId="034026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2025年河南省农机报废种类及补贴额一览表</w:t>
      </w:r>
    </w:p>
    <w:tbl>
      <w:tblPr>
        <w:tblStyle w:val="6"/>
        <w:tblW w:w="11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429"/>
        <w:gridCol w:w="4371"/>
        <w:gridCol w:w="1141"/>
        <w:gridCol w:w="3083"/>
      </w:tblGrid>
      <w:tr w14:paraId="6C2E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8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2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1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（报废并新购置同种类机具的）报废补贴额</w:t>
            </w:r>
          </w:p>
          <w:p w14:paraId="6DAD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7438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3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C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拖拉机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9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7C8D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3497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69A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9B4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3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20（含）-50马力（含）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0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689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10C1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C55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9E3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2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50-80马力（含）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4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952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70FC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A03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9EF5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80-100马力（含）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C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5B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461B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BD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D2A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E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100-160马力（含）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1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3DEF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7167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3D6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84A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0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160-200马力（含）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7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ED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2C3B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E2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313E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3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200马力以上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C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3C6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1DCA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联合收</w:t>
            </w:r>
          </w:p>
          <w:p w14:paraId="3CB3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割机</w:t>
            </w: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7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自走式全喂入稻麦联合收割机，喂入量0.5-1kg/s（含）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4500</w:t>
            </w:r>
          </w:p>
        </w:tc>
      </w:tr>
      <w:tr w14:paraId="5187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29A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E3C2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9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自走式全喂入稻麦联合收割机，喂入量1-3kg/s（含）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0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4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8250</w:t>
            </w:r>
          </w:p>
        </w:tc>
      </w:tr>
      <w:tr w14:paraId="0197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EFCF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6DF3A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6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自走式全喂入稻麦联合收割机，喂入量3-4kg/s（含）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3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10950</w:t>
            </w:r>
          </w:p>
        </w:tc>
      </w:tr>
      <w:tr w14:paraId="6F2B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E17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7AD4A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B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自走式全喂入稻麦联合收割机，喂入量4kg/s以上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F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16500</w:t>
            </w:r>
          </w:p>
        </w:tc>
      </w:tr>
      <w:tr w14:paraId="1809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CE7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27E9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1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自走式半喂入稻麦联合收割机，3行，35马力（含）以上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1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10800</w:t>
            </w:r>
          </w:p>
        </w:tc>
      </w:tr>
      <w:tr w14:paraId="196E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9C9B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1017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自走式半喂入稻麦联合收割机，4（含）行以上，35马力（含）以上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A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26250</w:t>
            </w:r>
          </w:p>
        </w:tc>
      </w:tr>
      <w:tr w14:paraId="5520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B33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E53C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F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自走式玉米联合收割机，2行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10800</w:t>
            </w:r>
          </w:p>
        </w:tc>
      </w:tr>
      <w:tr w14:paraId="02A8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DE7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5E7F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自走式玉米联合收割机，3行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0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18750</w:t>
            </w:r>
          </w:p>
        </w:tc>
      </w:tr>
      <w:tr w14:paraId="3CBB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0FBB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A354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0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自走式玉米联合收割机，4行及以上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E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30000</w:t>
            </w:r>
          </w:p>
        </w:tc>
      </w:tr>
      <w:tr w14:paraId="0770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9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4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14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报废并新购置同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类机具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的）报废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</w:t>
            </w:r>
          </w:p>
          <w:p w14:paraId="7B7F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746A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6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4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播种机</w:t>
            </w: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C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6行以下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1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5C11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D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A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D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6-11行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7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5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 w14:paraId="3E02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902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571E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1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12-18行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E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7106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9BD2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1F97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E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18行以上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C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06C5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8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F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水稻插</w:t>
            </w:r>
          </w:p>
          <w:p w14:paraId="118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秧机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2行手扶步进式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7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810</w:t>
            </w:r>
          </w:p>
        </w:tc>
      </w:tr>
      <w:tr w14:paraId="1A37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8C28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2FE68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8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1710</w:t>
            </w:r>
          </w:p>
        </w:tc>
      </w:tr>
      <w:tr w14:paraId="7CEB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EE9F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F217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2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D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F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2110</w:t>
            </w:r>
          </w:p>
        </w:tc>
      </w:tr>
      <w:tr w14:paraId="09B5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5101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A5CC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B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6行及以上独轮乘坐式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5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2231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896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FE2A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9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4-5行四轮乘坐式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D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4950</w:t>
            </w:r>
          </w:p>
        </w:tc>
      </w:tr>
      <w:tr w14:paraId="5335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BBC7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01D8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B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6-7行四轮乘坐式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11200</w:t>
            </w:r>
          </w:p>
        </w:tc>
      </w:tr>
      <w:tr w14:paraId="6671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CB6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F4D9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C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6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8730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13090</w:t>
            </w:r>
          </w:p>
        </w:tc>
      </w:tr>
      <w:tr w14:paraId="649F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7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饲料粉</w:t>
            </w:r>
          </w:p>
          <w:p w14:paraId="0357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碎机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F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转子直径400（含）-550mm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C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2F0E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712D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365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6933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5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转子直径550mm（含）以上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8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E95B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4A64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3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玉米脱</w:t>
            </w:r>
          </w:p>
          <w:p w14:paraId="12FD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粒机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6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生产率10t/h（含）及以上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2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14D6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335A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5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E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铡草机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7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生产率(干秸秆)6（含）-9t/h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2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762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2BD9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A96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84D08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B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生产率(干秸秆)9（含）-20t/h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D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88E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4987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CD0D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A9A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3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生产率(干秸秆)20t/h（含）以上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334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49DB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3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437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4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14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7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报废并新购置同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类机具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的）报废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</w:t>
            </w:r>
          </w:p>
          <w:p w14:paraId="1945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1370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7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3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9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E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302A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2BBF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7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A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方捆，压缩室截面积(宽×高)0.154m²（含）以上，打结器2个（含）以上，捡拾宽度1.7m（含）以上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6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4140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EC57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3428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008B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668F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圆捆，压缩室直径0.5（含）-1.2m，压缩室宽度0.7（含）-1.2m，捡拾宽度0.7m（含）以上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B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1620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7A52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3BEC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42A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B9FF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7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圆捆，压缩室直径1.2m（含）以上，压缩室宽度1.2m（含）以上，捡拾宽度2.2m（含）以上</w:t>
            </w:r>
          </w:p>
        </w:tc>
        <w:tc>
          <w:tcPr>
            <w:tcW w:w="11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C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6180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62A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10B9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D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花生收</w:t>
            </w:r>
          </w:p>
          <w:p w14:paraId="7352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C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自走式花生联合收获机，工作幅宽0.5m（含）以上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4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6510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926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76CD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224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B286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B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自走式花生捡拾收获机，捡拾幅宽2.5m（含）以上，配套发动机功率88kW（含）以上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141B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6DF9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5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C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自走圆盘式青饲料收获机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割幅2.6m（含）以上，对辊式，配套发动机功率150kW（含）以上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7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597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7C62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1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F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F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循环式，批处理量30t（含）以上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14520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25D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61A0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64C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6D1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5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连续式，处理量100t/d（含）以上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9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C1E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566D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0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D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自走履带式油菜籽收获机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9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喂入量4kg/s（含）以上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515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</w:p>
        </w:tc>
      </w:tr>
      <w:tr w14:paraId="0A52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2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6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工作行数≥13行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四轮乘坐式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有序抛秧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C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9090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4BD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  <w:t>13640</w:t>
            </w:r>
          </w:p>
        </w:tc>
      </w:tr>
      <w:tr w14:paraId="3AFC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5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63FF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</w:rPr>
              <w:t>340</w:t>
            </w:r>
          </w:p>
        </w:tc>
      </w:tr>
      <w:tr w14:paraId="07CE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4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5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2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10-20L多旋翼植保无人驾驶航空器。10L≤药液箱额定容量&lt;20L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电动、油动、油电混动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5DDD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2700</w:t>
            </w:r>
          </w:p>
        </w:tc>
      </w:tr>
      <w:tr w14:paraId="03A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B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20-30L多旋翼植保无人驾驶航空器。20L≤药液箱额定容量&lt;30L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电动、油动、油电混动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6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8BC5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4050</w:t>
            </w:r>
          </w:p>
        </w:tc>
      </w:tr>
      <w:tr w14:paraId="00E1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B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A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D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30-50L多旋翼植保无人驾驶航空器。30L≤药液箱额定容量&lt;50L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电动、油动、油电混动</w:t>
            </w:r>
          </w:p>
        </w:tc>
        <w:tc>
          <w:tcPr>
            <w:tcW w:w="11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891F0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5400</w:t>
            </w:r>
          </w:p>
        </w:tc>
      </w:tr>
      <w:tr w14:paraId="0E0B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4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2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6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报废并新购置同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类机具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的）报废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</w:t>
            </w:r>
          </w:p>
          <w:p w14:paraId="721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78CF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3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50L及以上多旋翼植保无人驾驶航空器。药液箱额定容量≥50L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电动、油动、油电混动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7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A4CA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6480</w:t>
            </w:r>
          </w:p>
        </w:tc>
      </w:tr>
      <w:tr w14:paraId="6EF8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A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15L-25L单旋翼植保无人驾驶航空器。15L≤药液箱额定容量&lt;25L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电动、油动、油电混动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B1C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4050</w:t>
            </w:r>
          </w:p>
        </w:tc>
      </w:tr>
      <w:tr w14:paraId="5FD9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6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B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25L及以上单旋翼植保无人驾驶航空器。药液箱额定容量≥25L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电动、油动、油电混动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867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5400</w:t>
            </w:r>
          </w:p>
        </w:tc>
      </w:tr>
      <w:tr w14:paraId="1084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1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6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色选机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F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大米色选机，总执行单元数&lt;60个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137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840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567D4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0FE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1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大米色选机，60个≤总执行单元数&lt;300个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738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2850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AD09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C9D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2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C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大米色选机，总执行单元数≥300个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3CA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6420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5B2F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959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C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杂粮色选机，总执行单元数&lt;60个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E9DB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840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E54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AFE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9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3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杂粮色选机，60个≤总执行单元数&lt;300个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9945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2850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E49C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251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A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1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杂粮色选机，总执行单元数≥300个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875C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6420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924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54F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E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磨粉机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300mm≤磨辊长度&lt;400mm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FC8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900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758C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712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6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8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400mm≤磨辊长度&lt;600mm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CAA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1200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AB50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71A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3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2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磨辊长度≥600mm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19E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1500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514D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E72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5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E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1m≤工作幅宽&lt;1.5m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9FD9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0DD7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6D9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C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9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E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1.5m≤工作幅宽&lt;2m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BDC7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3D19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C52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9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6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2m≤工作幅宽&lt;2.5m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14C6F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480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FB8A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A24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5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工作幅宽≥2.5m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59D5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660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7936B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BCE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2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A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E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C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报废并新购置同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类机具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的）报废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</w:t>
            </w:r>
          </w:p>
          <w:p w14:paraId="1E2C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154E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9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D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1m≤工作幅宽&lt;1.5m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063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063E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0E6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1.5m≤工作幅宽&lt;2m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62F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360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CD9B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2CDE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B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4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2m≤工作幅宽&lt;2.5m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8222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780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8C8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E01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4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C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8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工作幅宽≥2.5m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122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870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F9EB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FA9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A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8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履带自走式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1.2m≤耕幅&lt;2m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22.1kW≤发动机功率≤88.2kW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离地间隙≥280mm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57D6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1740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7C1D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77B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5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5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A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履带自走式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耕幅≥2m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51.4kW≤发动机功率≤88.2kW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离地间隙≥280mm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786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3870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5154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027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1m≤作业幅宽&lt;1.5m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8154B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9DE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51B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D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D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3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.5m≤作业幅宽&lt;2m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35D80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480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046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ABA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1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D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C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2m≤作业幅宽&lt;2.5m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4F19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540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99F2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E5B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A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作业幅宽≥2.5m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8350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660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CBFB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E5B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4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C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微型耕</w:t>
            </w:r>
          </w:p>
          <w:p w14:paraId="096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耘机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2kW≤发动机标定功率&lt;4kW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0FDC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743D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1D5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0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8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E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发动机标定功率≥4kW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7010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13446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BA3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3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0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田园管</w:t>
            </w:r>
          </w:p>
          <w:p w14:paraId="4060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2.5kW≤发动机标定功率&lt;4kW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F0B0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4A9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BE2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3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A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发动机标定功率≥4kW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2A5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0F0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C0F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E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3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B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犁体幅宽35cm以下，1-2铧翻转犁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4080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180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1A5E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086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3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犁体幅宽35cm以下，3-4铧翻转犁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A5C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9A36C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D9E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8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3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报废并新购置同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类机具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的）报废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</w:t>
            </w:r>
          </w:p>
          <w:p w14:paraId="0DD1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7AF7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D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2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F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</w:t>
            </w: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犁体幅宽35cm以下，5铧及以上翻转犁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13C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570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01CD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0F11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A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E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犁体幅宽35cm及以上，1-2铧翻转犁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965A4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180</w:t>
            </w:r>
          </w:p>
        </w:tc>
        <w:tc>
          <w:tcPr>
            <w:tcW w:w="3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B5D4D"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003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犁体幅宽35cm及以上，3-4铧翻转犁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9E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690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5DBC4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07F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3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8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E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犁体幅宽35cm及以上，5-6铧翻转犁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F24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900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77C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2D6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8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F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犁体幅宽35cm及以上，7铧及以上翻转犁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2B55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930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D7514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BC5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9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玉米收获</w:t>
            </w:r>
          </w:p>
          <w:p w14:paraId="572B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专用割台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4行割台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2.2m≤工作幅宽&lt;2.8m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858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2100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72AA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507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5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1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5行及以上割台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工作幅宽≥2.8m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E574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2700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C415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942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1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8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果蔬干</w:t>
            </w:r>
          </w:p>
          <w:p w14:paraId="1F30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燥机</w:t>
            </w: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5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有效烘干容积(容积)&lt;5m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A92D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E020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1C0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B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E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≤有效烘干容积&lt;5m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非燃煤型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7A7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270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CD1A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907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F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8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≤有效烘干容积&lt;20m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非燃煤型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CBA2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49D2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A38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E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3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≤有效烘干容积&lt;40m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非燃煤型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7CF5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900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A760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B03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7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0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C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有效烘干容积≥40m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非燃煤型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A480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1350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484B6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4B3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5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≤有效烘干容积&lt;5m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；热泵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额定功率(不含电辅助加热)≥2.1kW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8A1E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360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EB81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654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3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0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≤有效烘干容积&lt;20m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热泵额定功率(不含电辅助加热)≥2.4kW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89F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1650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5593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933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F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B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≤有效烘干容积&lt;40m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热泵额定功率(不含电辅助加热)≥4.5kW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8322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2250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BDB4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990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5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有效烘干容积≥40m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结构型式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热源装置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热泵额定功率(不含电辅助加热)≥9kW</w:t>
            </w:r>
          </w:p>
        </w:tc>
        <w:tc>
          <w:tcPr>
            <w:tcW w:w="1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4048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  <w:t>2850</w:t>
            </w:r>
          </w:p>
        </w:tc>
        <w:tc>
          <w:tcPr>
            <w:tcW w:w="30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DB6C">
            <w:pPr>
              <w:jc w:val="center"/>
              <w:rPr>
                <w:rFonts w:hint="default" w:ascii="宋体" w:hAnsi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 w14:paraId="7A519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p w14:paraId="1746657C">
      <w:pPr>
        <w:widowControl/>
        <w:spacing w:line="400" w:lineRule="exact"/>
        <w:ind w:left="1158" w:leftChars="342" w:hanging="440" w:hangingChars="10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823D59E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</w:p>
    <w:p w14:paraId="01E4631B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AA28114">
      <w:pPr>
        <w:widowControl/>
        <w:spacing w:line="400" w:lineRule="exact"/>
        <w:ind w:left="998" w:leftChars="342" w:hanging="280" w:hangingChars="10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6838" w:h="23811"/>
      <w:pgMar w:top="1474" w:right="1984" w:bottom="1587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2007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D218999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6A9D6F8B">
    <w:pPr>
      <w:pStyle w:val="3"/>
    </w:pPr>
  </w:p>
  <w:p w14:paraId="4440738D">
    <w:pPr>
      <w:pStyle w:val="3"/>
    </w:pPr>
  </w:p>
  <w:p w14:paraId="4738A2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F4CD7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ODUzZmYwNTJmMDlkMzE1YTMwNGM3Mjc3ZDI0MTAifQ=="/>
  </w:docVars>
  <w:rsids>
    <w:rsidRoot w:val="00E60883"/>
    <w:rsid w:val="00073C04"/>
    <w:rsid w:val="00087FB9"/>
    <w:rsid w:val="000D4FDE"/>
    <w:rsid w:val="000F09B1"/>
    <w:rsid w:val="001000C1"/>
    <w:rsid w:val="0014139F"/>
    <w:rsid w:val="00157DA6"/>
    <w:rsid w:val="001730F3"/>
    <w:rsid w:val="00183123"/>
    <w:rsid w:val="00203245"/>
    <w:rsid w:val="00291A34"/>
    <w:rsid w:val="00341A08"/>
    <w:rsid w:val="003D0736"/>
    <w:rsid w:val="003D0A78"/>
    <w:rsid w:val="003D40E3"/>
    <w:rsid w:val="003D659B"/>
    <w:rsid w:val="00492B66"/>
    <w:rsid w:val="004C6335"/>
    <w:rsid w:val="004C7C58"/>
    <w:rsid w:val="004D2A24"/>
    <w:rsid w:val="005B6071"/>
    <w:rsid w:val="005D5956"/>
    <w:rsid w:val="006E7F21"/>
    <w:rsid w:val="0075407B"/>
    <w:rsid w:val="007F4C68"/>
    <w:rsid w:val="008010F0"/>
    <w:rsid w:val="008131D0"/>
    <w:rsid w:val="00885B79"/>
    <w:rsid w:val="009A388B"/>
    <w:rsid w:val="009C00CF"/>
    <w:rsid w:val="00A06BB9"/>
    <w:rsid w:val="00A744F8"/>
    <w:rsid w:val="00B11D3B"/>
    <w:rsid w:val="00B66BB2"/>
    <w:rsid w:val="00B709C4"/>
    <w:rsid w:val="00C77ED6"/>
    <w:rsid w:val="00C873CB"/>
    <w:rsid w:val="00C91DFE"/>
    <w:rsid w:val="00CE1601"/>
    <w:rsid w:val="00D054A2"/>
    <w:rsid w:val="00DA412D"/>
    <w:rsid w:val="00DC3AA3"/>
    <w:rsid w:val="00DD04E7"/>
    <w:rsid w:val="00DE5A5C"/>
    <w:rsid w:val="00E60883"/>
    <w:rsid w:val="00E63B21"/>
    <w:rsid w:val="00E70E28"/>
    <w:rsid w:val="00ED4FB8"/>
    <w:rsid w:val="00EE1F93"/>
    <w:rsid w:val="00EF4C65"/>
    <w:rsid w:val="00F423F9"/>
    <w:rsid w:val="00FC2414"/>
    <w:rsid w:val="00FD1F75"/>
    <w:rsid w:val="01E74ACC"/>
    <w:rsid w:val="025E56A2"/>
    <w:rsid w:val="02FA438B"/>
    <w:rsid w:val="03B804CE"/>
    <w:rsid w:val="043B2EAD"/>
    <w:rsid w:val="04812FB5"/>
    <w:rsid w:val="05D9472B"/>
    <w:rsid w:val="064424ED"/>
    <w:rsid w:val="06D3561E"/>
    <w:rsid w:val="07911761"/>
    <w:rsid w:val="07A31495"/>
    <w:rsid w:val="07B611C8"/>
    <w:rsid w:val="07CC279A"/>
    <w:rsid w:val="096B1B3E"/>
    <w:rsid w:val="0A1F32BD"/>
    <w:rsid w:val="0A7B4003"/>
    <w:rsid w:val="0AA92AA7"/>
    <w:rsid w:val="0AB17A25"/>
    <w:rsid w:val="0AD64B85"/>
    <w:rsid w:val="0BD87233"/>
    <w:rsid w:val="0C1E10EA"/>
    <w:rsid w:val="0C7565A8"/>
    <w:rsid w:val="0C9615C8"/>
    <w:rsid w:val="0CE87A63"/>
    <w:rsid w:val="0D2A3ABE"/>
    <w:rsid w:val="0D7D0092"/>
    <w:rsid w:val="0EE5705F"/>
    <w:rsid w:val="0F0B4E7C"/>
    <w:rsid w:val="0F3375A2"/>
    <w:rsid w:val="102A2753"/>
    <w:rsid w:val="10380ED8"/>
    <w:rsid w:val="108D683E"/>
    <w:rsid w:val="10C009C2"/>
    <w:rsid w:val="111B209C"/>
    <w:rsid w:val="12466F8F"/>
    <w:rsid w:val="12A3059B"/>
    <w:rsid w:val="133A408D"/>
    <w:rsid w:val="13750189"/>
    <w:rsid w:val="14264FE0"/>
    <w:rsid w:val="14E4779D"/>
    <w:rsid w:val="15086DDB"/>
    <w:rsid w:val="15852F08"/>
    <w:rsid w:val="16CB6312"/>
    <w:rsid w:val="17885842"/>
    <w:rsid w:val="17E56F60"/>
    <w:rsid w:val="180E4708"/>
    <w:rsid w:val="18C94AD3"/>
    <w:rsid w:val="18E43221"/>
    <w:rsid w:val="191D27E4"/>
    <w:rsid w:val="19D379B8"/>
    <w:rsid w:val="1A2226ED"/>
    <w:rsid w:val="1A254076"/>
    <w:rsid w:val="1DB96EC4"/>
    <w:rsid w:val="1F152820"/>
    <w:rsid w:val="20631369"/>
    <w:rsid w:val="21917A5D"/>
    <w:rsid w:val="21AD6D40"/>
    <w:rsid w:val="21C93FB3"/>
    <w:rsid w:val="21DF2C72"/>
    <w:rsid w:val="21E5472C"/>
    <w:rsid w:val="23EF1892"/>
    <w:rsid w:val="24A65CC9"/>
    <w:rsid w:val="2579187B"/>
    <w:rsid w:val="269A7437"/>
    <w:rsid w:val="26A821CC"/>
    <w:rsid w:val="29B33362"/>
    <w:rsid w:val="29C42E79"/>
    <w:rsid w:val="2A907927"/>
    <w:rsid w:val="2ADA40E9"/>
    <w:rsid w:val="2C144076"/>
    <w:rsid w:val="2C8B5ED0"/>
    <w:rsid w:val="2CDF7FCA"/>
    <w:rsid w:val="2D053DA9"/>
    <w:rsid w:val="2F527179"/>
    <w:rsid w:val="2F7475EE"/>
    <w:rsid w:val="31A67308"/>
    <w:rsid w:val="32C71C2C"/>
    <w:rsid w:val="345E211C"/>
    <w:rsid w:val="34EE524E"/>
    <w:rsid w:val="353A0493"/>
    <w:rsid w:val="35DA1265"/>
    <w:rsid w:val="36455341"/>
    <w:rsid w:val="36ED1CCC"/>
    <w:rsid w:val="387B14EE"/>
    <w:rsid w:val="39AD1B7B"/>
    <w:rsid w:val="39F350B4"/>
    <w:rsid w:val="3A900B55"/>
    <w:rsid w:val="3AB962FE"/>
    <w:rsid w:val="3AFE1F63"/>
    <w:rsid w:val="3C9552DC"/>
    <w:rsid w:val="3CA60B04"/>
    <w:rsid w:val="3D7F382F"/>
    <w:rsid w:val="3D8E1D31"/>
    <w:rsid w:val="3E1E266B"/>
    <w:rsid w:val="3E5500EC"/>
    <w:rsid w:val="3E622809"/>
    <w:rsid w:val="40464C84"/>
    <w:rsid w:val="41004C87"/>
    <w:rsid w:val="427D5E63"/>
    <w:rsid w:val="42D75573"/>
    <w:rsid w:val="435A7F52"/>
    <w:rsid w:val="45594965"/>
    <w:rsid w:val="459260C9"/>
    <w:rsid w:val="46054AED"/>
    <w:rsid w:val="46D87B0C"/>
    <w:rsid w:val="46E91D19"/>
    <w:rsid w:val="473E2065"/>
    <w:rsid w:val="474457BF"/>
    <w:rsid w:val="478D08F6"/>
    <w:rsid w:val="47955018"/>
    <w:rsid w:val="48221986"/>
    <w:rsid w:val="48B87E46"/>
    <w:rsid w:val="48F72660"/>
    <w:rsid w:val="49303C2F"/>
    <w:rsid w:val="49575660"/>
    <w:rsid w:val="49DB6D62"/>
    <w:rsid w:val="4E313891"/>
    <w:rsid w:val="4E5E502F"/>
    <w:rsid w:val="4F4C553B"/>
    <w:rsid w:val="50E13A61"/>
    <w:rsid w:val="51786173"/>
    <w:rsid w:val="51F36142"/>
    <w:rsid w:val="53D31D87"/>
    <w:rsid w:val="54C17E31"/>
    <w:rsid w:val="54FF095A"/>
    <w:rsid w:val="551C150B"/>
    <w:rsid w:val="55450A62"/>
    <w:rsid w:val="55E41863"/>
    <w:rsid w:val="58D81BED"/>
    <w:rsid w:val="58F85DEC"/>
    <w:rsid w:val="5A183E90"/>
    <w:rsid w:val="5AB624AA"/>
    <w:rsid w:val="5B2A2BD4"/>
    <w:rsid w:val="5C1473E0"/>
    <w:rsid w:val="5C5123E2"/>
    <w:rsid w:val="5C7B4899"/>
    <w:rsid w:val="5CD66444"/>
    <w:rsid w:val="5D2B49E2"/>
    <w:rsid w:val="5D412B2F"/>
    <w:rsid w:val="5D4F388D"/>
    <w:rsid w:val="5D79399F"/>
    <w:rsid w:val="5DB27723"/>
    <w:rsid w:val="5F610B8F"/>
    <w:rsid w:val="5FAA6092"/>
    <w:rsid w:val="600948F3"/>
    <w:rsid w:val="61001CE1"/>
    <w:rsid w:val="611A7247"/>
    <w:rsid w:val="61BF0E7E"/>
    <w:rsid w:val="62203800"/>
    <w:rsid w:val="628C5F22"/>
    <w:rsid w:val="62A56FE4"/>
    <w:rsid w:val="63C17E4E"/>
    <w:rsid w:val="640B18DD"/>
    <w:rsid w:val="64964E36"/>
    <w:rsid w:val="65115270"/>
    <w:rsid w:val="65197815"/>
    <w:rsid w:val="65206DF6"/>
    <w:rsid w:val="65EE5B70"/>
    <w:rsid w:val="68ED2143"/>
    <w:rsid w:val="694110E9"/>
    <w:rsid w:val="6A326E04"/>
    <w:rsid w:val="6A7936B6"/>
    <w:rsid w:val="6AE368FC"/>
    <w:rsid w:val="6BBC6D0F"/>
    <w:rsid w:val="6C3F7B62"/>
    <w:rsid w:val="6C755C79"/>
    <w:rsid w:val="6C9E5CD6"/>
    <w:rsid w:val="6F9E39C4"/>
    <w:rsid w:val="6FBC771B"/>
    <w:rsid w:val="700C06A3"/>
    <w:rsid w:val="71E60A7F"/>
    <w:rsid w:val="72AB7F0E"/>
    <w:rsid w:val="73696867"/>
    <w:rsid w:val="74CF151E"/>
    <w:rsid w:val="74D3102F"/>
    <w:rsid w:val="74DC4AE7"/>
    <w:rsid w:val="74DD43BC"/>
    <w:rsid w:val="75297256"/>
    <w:rsid w:val="76DC1CDD"/>
    <w:rsid w:val="777B7B55"/>
    <w:rsid w:val="78362761"/>
    <w:rsid w:val="786372CE"/>
    <w:rsid w:val="786B1CDE"/>
    <w:rsid w:val="78F37CCF"/>
    <w:rsid w:val="79AE0C83"/>
    <w:rsid w:val="7ADC6EC3"/>
    <w:rsid w:val="7B6E7CCF"/>
    <w:rsid w:val="7BDE0FA2"/>
    <w:rsid w:val="7C4116D4"/>
    <w:rsid w:val="7C9B4C71"/>
    <w:rsid w:val="7D5E0064"/>
    <w:rsid w:val="7D621902"/>
    <w:rsid w:val="7E7C4C45"/>
    <w:rsid w:val="7E7F0292"/>
    <w:rsid w:val="7F0013D2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semiHidden/>
    <w:qFormat/>
    <w:uiPriority w:val="0"/>
    <w:rPr>
      <w:rFonts w:ascii="宋体" w:hAnsi="宋体" w:eastAsia="宋体" w:cs="宋体"/>
      <w:sz w:val="86"/>
      <w:szCs w:val="86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正文文本 Char"/>
    <w:basedOn w:val="7"/>
    <w:link w:val="2"/>
    <w:semiHidden/>
    <w:qFormat/>
    <w:uiPriority w:val="0"/>
    <w:rPr>
      <w:rFonts w:ascii="宋体" w:hAnsi="宋体" w:eastAsia="宋体" w:cs="宋体"/>
      <w:kern w:val="2"/>
      <w:sz w:val="86"/>
      <w:szCs w:val="8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3969</Words>
  <Characters>4868</Characters>
  <Lines>56</Lines>
  <Paragraphs>15</Paragraphs>
  <TotalTime>18</TotalTime>
  <ScaleCrop>false</ScaleCrop>
  <LinksUpToDate>false</LinksUpToDate>
  <CharactersWithSpaces>4981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2022-02-25T01:13:00Z</dcterms:created>
  <dc:creator>PC</dc:creator>
  <cp:lastModifiedBy>Administrator</cp:lastModifiedBy>
  <cp:lastPrinted>2025-09-09T01:17:44Z</cp:lastPrinted>
  <dcterms:modified xsi:type="dcterms:W3CDTF">2025-09-09T01:33:48Z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E30E6A7447674B0BBC314B9377982A43</vt:lpwstr>
  </property>
  <property fmtid="{D5CDD505-2E9C-101B-9397-08002B2CF9AE}" pid="4" name="KSOTemplateDocerSaveRecord">
    <vt:lpwstr>eyJoZGlkIjoiODNjNDYwZGRhOTFiMWM2Y2FlNGY5MmVlOGMwMTU4MDIifQ==</vt:lpwstr>
  </property>
</Properties>
</file>