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FAAA1">
      <w:pPr>
        <w:spacing w:line="560" w:lineRule="exact"/>
        <w:ind w:firstLine="0"/>
        <w:rPr>
          <w:rFonts w:hint="eastAsia" w:ascii="黑体" w:hAnsi="黑体" w:eastAsia="黑体" w:cs="国标黑体"/>
          <w:sz w:val="32"/>
          <w:szCs w:val="32"/>
        </w:rPr>
      </w:pPr>
      <w:r>
        <w:rPr>
          <w:rFonts w:hint="eastAsia" w:ascii="黑体" w:hAnsi="黑体" w:eastAsia="黑体" w:cs="国标黑体"/>
          <w:sz w:val="32"/>
          <w:szCs w:val="32"/>
        </w:rPr>
        <w:t>附件3—1</w:t>
      </w:r>
    </w:p>
    <w:p w14:paraId="0DFD2D45">
      <w:pPr>
        <w:snapToGrid w:val="0"/>
        <w:ind w:firstLine="0"/>
        <w:rPr>
          <w:rFonts w:hint="eastAsia"/>
        </w:rPr>
      </w:pPr>
    </w:p>
    <w:p w14:paraId="6275E19E">
      <w:pPr>
        <w:snapToGrid w:val="0"/>
        <w:ind w:firstLine="0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体育教学组评分标准</w:t>
      </w:r>
    </w:p>
    <w:p w14:paraId="661E764C">
      <w:pPr>
        <w:spacing w:line="400" w:lineRule="exact"/>
        <w:ind w:firstLine="0"/>
      </w:pPr>
    </w:p>
    <w:p w14:paraId="72B0054C">
      <w:pPr>
        <w:ind w:firstLine="560" w:firstLineChars="200"/>
        <w:rPr>
          <w:rFonts w:hint="eastAsia" w:ascii="黑体" w:hAnsi="黑体" w:eastAsia="黑体" w:cs="黑体"/>
          <w:bCs/>
          <w:color w:val="000000"/>
          <w:sz w:val="28"/>
          <w:szCs w:val="28"/>
          <w:lang w:bidi="en-US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bidi="en-US"/>
        </w:rPr>
        <w:t>一、体育教学设计与教学实践实录视频（40分）</w:t>
      </w:r>
    </w:p>
    <w:tbl>
      <w:tblPr>
        <w:tblStyle w:val="2"/>
        <w:tblW w:w="963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444"/>
        <w:gridCol w:w="6688"/>
      </w:tblGrid>
      <w:tr w14:paraId="5C08F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E30E19D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33676B0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49168B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评测要点</w:t>
            </w:r>
          </w:p>
        </w:tc>
      </w:tr>
      <w:tr w14:paraId="06CDD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  <w:jc w:val="center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2FB9354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理念目标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F080653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设计理念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99DB498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适应新时代对人才培养的要求，紧扣“健康第一”的课程理念和“四位一体”课程总体目标，充分体现体育课程特点和在全面育人中的独特作用，突出学生的主体性，以及教与学活动有机结合，有效融合现代教育技术手段；设计思路清晰并具有创新性。</w:t>
            </w:r>
          </w:p>
        </w:tc>
      </w:tr>
      <w:tr w14:paraId="03C48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DF6A9AE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C3C07BC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教学目标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13CA48B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教学目标表述明确、相互关联，重点突出、可评可测，陈述规范；注重通过课程学习实现知识认知、技能掌握、体能发展和身心素养的提高；强化运动安全教育，明确安全风险防控目标。</w:t>
            </w:r>
          </w:p>
        </w:tc>
      </w:tr>
      <w:tr w14:paraId="19A18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16733E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内容对象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5524872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选题价值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45588E7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选题为教学中常见、典型、有代表性教学内容，能反映高校体育课程特点，体现运动项目核心技能与素养。</w:t>
            </w:r>
          </w:p>
        </w:tc>
      </w:tr>
      <w:tr w14:paraId="51329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3332EB2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58C3F8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教学内容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70C12C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教学内容有效支撑教学目标的实现，选择科学严谨、容量适度，安排合理、衔接有序、结构清晰，并能有效吸收新的成果和技术。教师对教材（教学内容）理解正确、准确，能有效梳理出教与学过程中的重点和难点。包含运动安全知识（如热身规范、器材检查、危险动作规避）、应急处理流程等。</w:t>
            </w:r>
          </w:p>
        </w:tc>
      </w:tr>
      <w:tr w14:paraId="7EF1C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9AA462B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0F05B11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教学对象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C30347D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熟悉教学班的学生结构，客观分析学生的知识基础、认知能力、学习特点、专业特性等，详实反映学生体能与技能上整体与个体情况、差异性，准确预判教学难点及其掌握可能。课堂教学班为12人。</w:t>
            </w:r>
          </w:p>
        </w:tc>
      </w:tr>
      <w:tr w14:paraId="4B8D8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2B95DD3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策略方法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A24135D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教学手段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88C4AD4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教学手段的选择与运用具有实效性，有利于教学目标的达成、重点难点突破和学生学习积极性调动；充分融合课程思政元素，并贯穿于教学全过程，教学媒介选择恰当，辅助教学效果好。</w:t>
            </w:r>
          </w:p>
        </w:tc>
      </w:tr>
      <w:tr w14:paraId="3EE9E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  <w:jc w:val="center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0087120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159C35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教学方法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27A883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能根据教学需求选用灵活适当的教学方法，启发和激活学生学习主动性及创造性思维能力；正确运用评价、激励等教学方法。关注重点、难点的解决，能够针对学习反馈及时调整教学，突出学生中心，实行因材施教。通过情景模拟、案例分析等方式教授安全防护技能，示范安全操作规范。</w:t>
            </w:r>
          </w:p>
        </w:tc>
      </w:tr>
      <w:tr w14:paraId="0BC8D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040B1F1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66546B6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教学流程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B7A342C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按照教学设计实施教学，组织合理、规范，口令指挥得当；各环节衔接自然，时间安排恰当；运动负荷、练习密度与预期基本一致；合理运用信息技术、数字资源、信息化教学设施设备提高教学与管理成效。</w:t>
            </w:r>
          </w:p>
        </w:tc>
      </w:tr>
      <w:tr w14:paraId="0A63C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7E70E5B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策略方法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019314E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课程资源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2AEBB13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建有与教学相配套的课程资源，能实施线上线下相融合的教学模式，选用教材为国家规划教材或优秀教材。</w:t>
            </w:r>
          </w:p>
        </w:tc>
      </w:tr>
      <w:tr w14:paraId="2C91B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4F0FEF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能力素质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6CBE4DB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讲解示范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379DB77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bidi="ar"/>
              </w:rPr>
              <w:t>师讲解声音洪亮，表述规范，表达自然，时机把握得当；具有较好基本功和展示能力，示范正确，动作优美；讲解示范结合恰当。及时纠正学生危险动作，全程监控运动环境安全，展现安全教学管理能力。</w:t>
            </w:r>
          </w:p>
        </w:tc>
      </w:tr>
      <w:tr w14:paraId="6D688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A8C16E7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7035C5F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综合表现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35BFCA6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充分展现新时代高校体育教师良好的师德师风、教学技能和信息素养；教师课堂教学态度认真、严谨规范、表述流畅、亲和力强，时间布局合理、准确，课堂驾驭力强。</w:t>
            </w:r>
          </w:p>
        </w:tc>
      </w:tr>
      <w:tr w14:paraId="7D0FB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3336910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技术规范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D209D54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技术规范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D22FFB8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按照规定的技术标准设计和制作视频，视频时长控制在20分钟；视频图像清晰稳定、构图合理、声音清楚。</w:t>
            </w:r>
          </w:p>
        </w:tc>
      </w:tr>
      <w:tr w14:paraId="7B08B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CEE81CA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5AE4729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技术运用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E8D6ADD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合理运用技术手段改善视频效果，主、辅界面要配合得当，观赏效果好。</w:t>
            </w:r>
          </w:p>
        </w:tc>
      </w:tr>
      <w:tr w14:paraId="2ACDD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7E93026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效果特色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7F6E975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目标达成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D35027C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教学环境满足需求，教学活动开展有序，教学互动深入有效，教学气氛生动活泼，完成预定的教学目标；说课时能够清晰表述课的设计及方法、手段运用的原理与依据。</w:t>
            </w:r>
          </w:p>
        </w:tc>
      </w:tr>
      <w:tr w14:paraId="68579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4DFFB62">
            <w:pPr>
              <w:widowControl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1AFB1E9">
            <w:pPr>
              <w:widowControl/>
              <w:spacing w:line="24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特色创新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0EB1FEC">
            <w:pPr>
              <w:widowControl/>
              <w:spacing w:line="240" w:lineRule="exact"/>
              <w:ind w:firstLine="0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能够通过课程教学引导学生树立正确的理想信念、养成正确的健康观和终身受益的健身能力，能够创新课程教学模式，能给学生深刻的学习体验；具有较好借鉴和推广价值，特别是线上线下混合式教学实践。</w:t>
            </w:r>
          </w:p>
        </w:tc>
      </w:tr>
    </w:tbl>
    <w:p w14:paraId="0D5F4B74">
      <w:pPr>
        <w:ind w:firstLine="560" w:firstLineChars="200"/>
        <w:rPr>
          <w:rFonts w:hint="eastAsia" w:ascii="黑体" w:hAnsi="黑体" w:eastAsia="黑体" w:cs="黑体"/>
          <w:bCs/>
          <w:color w:val="000000"/>
          <w:sz w:val="28"/>
          <w:szCs w:val="28"/>
          <w:lang w:bidi="en-US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bidi="en-US"/>
        </w:rPr>
        <w:t>二、体能竞赛（20分）</w:t>
      </w:r>
    </w:p>
    <w:tbl>
      <w:tblPr>
        <w:tblStyle w:val="3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8"/>
        <w:gridCol w:w="6941"/>
      </w:tblGrid>
      <w:tr w14:paraId="05E33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493" w:type="dxa"/>
            <w:noWrap w:val="0"/>
            <w:vAlign w:val="center"/>
          </w:tcPr>
          <w:p w14:paraId="22E28B4F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评测内容</w:t>
            </w:r>
          </w:p>
        </w:tc>
        <w:tc>
          <w:tcPr>
            <w:tcW w:w="6414" w:type="dxa"/>
            <w:noWrap w:val="0"/>
            <w:vAlign w:val="center"/>
          </w:tcPr>
          <w:p w14:paraId="5A127DAC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评测要点</w:t>
            </w:r>
          </w:p>
        </w:tc>
      </w:tr>
      <w:tr w14:paraId="2CA02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493" w:type="dxa"/>
            <w:noWrap w:val="0"/>
            <w:vAlign w:val="center"/>
          </w:tcPr>
          <w:p w14:paraId="0753896B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90秒跳绳</w:t>
            </w:r>
          </w:p>
        </w:tc>
        <w:tc>
          <w:tcPr>
            <w:tcW w:w="6414" w:type="dxa"/>
            <w:noWrap w:val="0"/>
            <w:vAlign w:val="center"/>
          </w:tcPr>
          <w:p w14:paraId="238490EB">
            <w:pPr>
              <w:widowControl/>
              <w:spacing w:line="240" w:lineRule="exact"/>
              <w:ind w:firstLine="0"/>
              <w:rPr>
                <w:rFonts w:hint="eastAsia" w:ascii="国标黑体" w:hAnsi="国标黑体" w:eastAsia="国标黑体" w:cs="国标黑体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单双脚均可，测试过程中跳绳绊脚未完成，当次不计数，参赛教师可以继续考试。</w:t>
            </w:r>
          </w:p>
        </w:tc>
      </w:tr>
      <w:tr w14:paraId="7108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2493" w:type="dxa"/>
            <w:noWrap w:val="0"/>
            <w:vAlign w:val="center"/>
          </w:tcPr>
          <w:p w14:paraId="29A6A239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掷实心球(2Kg)</w:t>
            </w:r>
          </w:p>
        </w:tc>
        <w:tc>
          <w:tcPr>
            <w:tcW w:w="6414" w:type="dxa"/>
            <w:noWrap w:val="0"/>
            <w:vAlign w:val="center"/>
          </w:tcPr>
          <w:p w14:paraId="1D40A723">
            <w:pPr>
              <w:widowControl/>
              <w:spacing w:line="240" w:lineRule="exact"/>
              <w:ind w:firstLine="0"/>
              <w:rPr>
                <w:rFonts w:hint="eastAsia" w:ascii="国标黑体" w:hAnsi="国标黑体" w:eastAsia="国标黑体" w:cs="国标黑体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采用正面双手前掷实心球。球出手的同时，一脚可以向前迈一步，但不得触碰或越过投掷线。每名参赛教师可以投掷3次，计取最好成绩。参赛教师犯规时，当次成绩无效；犯规3次者，该项目考试计0分。投掷过程中，身体任何部位触及投掷线或投掷线前地面；球出手前有助跑动作；投掷过程中双脚同时离地。出现上述情形时，当次投掷成绩无效。</w:t>
            </w:r>
          </w:p>
        </w:tc>
      </w:tr>
    </w:tbl>
    <w:p w14:paraId="7323B785">
      <w:pPr>
        <w:ind w:firstLine="480" w:firstLineChars="200"/>
        <w:rPr>
          <w:rFonts w:hint="eastAsia" w:ascii="黑体" w:hAnsi="黑体" w:eastAsia="黑体" w:cs="黑体"/>
          <w:bCs/>
          <w:color w:val="000000"/>
          <w:sz w:val="28"/>
          <w:szCs w:val="28"/>
          <w:lang w:bidi="en-US"/>
        </w:rPr>
      </w:pPr>
      <w:r>
        <w:rPr>
          <w:rFonts w:hint="eastAsia" w:ascii="国标黑体" w:hAnsi="国标黑体" w:eastAsia="国标黑体" w:cs="国标黑体"/>
          <w:bCs/>
          <w:color w:val="000000"/>
          <w:kern w:val="0"/>
          <w:sz w:val="24"/>
          <w:szCs w:val="24"/>
          <w:lang w:bidi="ar"/>
        </w:rPr>
        <w:br w:type="page"/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bidi="en-US"/>
        </w:rPr>
        <w:t>三、专项技能竞赛（40分）</w:t>
      </w:r>
    </w:p>
    <w:tbl>
      <w:tblPr>
        <w:tblStyle w:val="2"/>
        <w:tblW w:w="96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2000"/>
        <w:gridCol w:w="6334"/>
      </w:tblGrid>
      <w:tr w14:paraId="23DAF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BF86E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专项技能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F88AF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F0C26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国标黑体"/>
                <w:bCs/>
                <w:color w:val="000000"/>
                <w:kern w:val="0"/>
                <w:sz w:val="24"/>
                <w:szCs w:val="24"/>
                <w:lang w:bidi="ar"/>
              </w:rPr>
              <w:t>竞赛细目</w:t>
            </w:r>
          </w:p>
        </w:tc>
      </w:tr>
      <w:tr w14:paraId="1A1EA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22559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大球类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D146B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篮球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ED76B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1.定点投篮；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2.多种变向运球上篮。</w:t>
            </w:r>
          </w:p>
        </w:tc>
      </w:tr>
      <w:tr w14:paraId="6BFAA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83D57">
            <w:pPr>
              <w:widowControl/>
              <w:snapToGrid w:val="0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C5C3C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排球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34D7A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1.接发球；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2.扣球。</w:t>
            </w:r>
          </w:p>
        </w:tc>
      </w:tr>
      <w:tr w14:paraId="1DAD8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FC08A">
            <w:pPr>
              <w:widowControl/>
              <w:snapToGrid w:val="0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C6FD2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足球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9F7E2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1.传准；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2.颠球与运射。</w:t>
            </w:r>
          </w:p>
        </w:tc>
      </w:tr>
      <w:tr w14:paraId="0345E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E4FD4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小球类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F9447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乒乓球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572EF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1.左推右攻；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2.全台不定点下旋衔接摆速。</w:t>
            </w:r>
          </w:p>
        </w:tc>
      </w:tr>
      <w:tr w14:paraId="2AB90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FE681">
            <w:pPr>
              <w:widowControl/>
              <w:snapToGrid w:val="0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74B93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羽毛球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C7132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1.前场击球；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2.后场击球。</w:t>
            </w:r>
          </w:p>
        </w:tc>
      </w:tr>
      <w:tr w14:paraId="736B6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D24F5">
            <w:pPr>
              <w:widowControl/>
              <w:snapToGrid w:val="0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E0E4B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网</w:t>
            </w:r>
            <w:r>
              <w:rPr>
                <w:rStyle w:val="5"/>
                <w:rFonts w:hint="default" w:ascii="仿宋_GB2312" w:hAnsi="仿宋_GB2312" w:eastAsia="仿宋_GB2312" w:cs="仿宋_GB2312"/>
                <w:lang w:bidi="ar"/>
              </w:rPr>
              <w:t>球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66DBC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1.发球和接发球；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2.对墙连续击球。</w:t>
            </w:r>
          </w:p>
        </w:tc>
      </w:tr>
      <w:tr w14:paraId="0B5AD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64C92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操舞类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756F5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健美操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B3BAC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1.中国大学生校园健美操规定动作（中级套路动作）；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2.自选动作。</w:t>
            </w:r>
          </w:p>
        </w:tc>
      </w:tr>
      <w:tr w14:paraId="1E404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1F0AC">
            <w:pPr>
              <w:widowControl/>
              <w:snapToGrid w:val="0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A5FE7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艺术体操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3A9AC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1.中国学生艺术体操技术等级动作标准（6级带操）；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2.自选动作。</w:t>
            </w:r>
          </w:p>
        </w:tc>
      </w:tr>
      <w:tr w14:paraId="5B6CC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B5E67">
            <w:pPr>
              <w:widowControl/>
              <w:snapToGrid w:val="0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55968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啦啦操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F2BFD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1.2022版中国大学生啦啦操规定动作（花球操）；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2.自选动作。</w:t>
            </w:r>
          </w:p>
        </w:tc>
      </w:tr>
      <w:tr w14:paraId="37C20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FD850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武术类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9E819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武术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A3524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1.规定动作：初级三路长拳和24式简化太极拳套路；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2.自选动作：任一器械套路动作展示（剑、棍、刀、枪）。</w:t>
            </w:r>
          </w:p>
        </w:tc>
      </w:tr>
      <w:tr w14:paraId="24F15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CF872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田径类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5DB2B">
            <w:pPr>
              <w:widowControl/>
              <w:snapToGrid w:val="0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田径</w:t>
            </w:r>
          </w:p>
        </w:tc>
        <w:tc>
          <w:tcPr>
            <w:tcW w:w="5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D4821">
            <w:pPr>
              <w:widowControl/>
              <w:snapToGrid w:val="0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1.规定动作：跑的辅助性练习动作等；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2.自选动作：全能（男子九项、女子七项）中任选一项。</w:t>
            </w:r>
          </w:p>
        </w:tc>
      </w:tr>
    </w:tbl>
    <w:p w14:paraId="1A660879">
      <w:pPr>
        <w:ind w:firstLine="0"/>
        <w:jc w:val="center"/>
        <w:rPr>
          <w:rFonts w:hint="eastAsia" w:ascii="楷体_GB2312" w:hAnsi="仿宋_GB2312" w:eastAsia="楷体_GB2312" w:cs="仿宋_GB2312"/>
          <w:b/>
          <w:bCs/>
          <w:sz w:val="24"/>
          <w:szCs w:val="21"/>
        </w:rPr>
      </w:pPr>
      <w:r>
        <w:rPr>
          <w:rFonts w:hint="eastAsia" w:ascii="楷体_GB2312" w:hAnsi="仿宋_GB2312" w:eastAsia="楷体_GB2312" w:cs="仿宋_GB2312"/>
          <w:b/>
          <w:bCs/>
          <w:sz w:val="24"/>
          <w:szCs w:val="21"/>
        </w:rPr>
        <w:t>专项技能竞赛各细目评测要点详见大赛</w:t>
      </w:r>
      <w:r>
        <w:rPr>
          <w:rFonts w:hint="eastAsia" w:ascii="楷体_GB2312" w:hAnsi="仿宋_GB2312" w:eastAsia="楷体_GB2312" w:cs="仿宋_GB2312"/>
          <w:b/>
          <w:bCs/>
          <w:sz w:val="24"/>
          <w:szCs w:val="21"/>
          <w:lang w:val="en-US" w:eastAsia="zh-CN"/>
        </w:rPr>
        <w:t>平台</w:t>
      </w:r>
      <w:r>
        <w:rPr>
          <w:rFonts w:hint="eastAsia" w:ascii="楷体_GB2312" w:hAnsi="仿宋_GB2312" w:eastAsia="楷体_GB2312" w:cs="仿宋_GB2312"/>
          <w:b/>
          <w:bCs/>
          <w:sz w:val="24"/>
          <w:szCs w:val="21"/>
        </w:rPr>
        <w:t>（https://hnsktcxty.mh.chaoxing.com）</w:t>
      </w:r>
    </w:p>
    <w:p w14:paraId="72888BB2"/>
    <w:sectPr>
      <w:pgSz w:w="11906" w:h="16838"/>
      <w:pgMar w:top="1440" w:right="1633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098401D-6685-467D-A8F4-9A203376D1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C6FBB08-5F54-4C01-908B-73AB61D407D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2C4E6800-94FA-4EE6-AC30-A6683ED6B0FB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4" w:fontKey="{79D744C9-5CA4-43E1-9886-4144DE6C3DA3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DA4F1F68-E558-4FC4-8A8A-77493DDA090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1197B6F-8147-4C80-8292-16F12E43BB7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CAA24C7A-372F-4837-B686-15D46ADC4783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637B0"/>
    <w:rsid w:val="201637B0"/>
    <w:rsid w:val="2B55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ind w:firstLine="601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2025-07-08T02:30:00Z</dcterms:created>
  <dc:creator>沐风</dc:creator>
  <cp:lastModifiedBy>沐风</cp:lastModifiedBy>
  <dcterms:modified xsi:type="dcterms:W3CDTF">2025-07-08T02:50:55Z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02BFB5D82D54434099D3AEE47A736908_11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