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40" w:type="dxa"/>
        <w:tblInd w:w="93" w:type="dxa"/>
        <w:tblLayout w:type="fixed"/>
        <w:tblCellMar>
          <w:top w:w="0" w:type="dxa"/>
          <w:left w:w="108" w:type="dxa"/>
          <w:bottom w:w="0" w:type="dxa"/>
          <w:right w:w="108" w:type="dxa"/>
        </w:tblCellMar>
      </w:tblPr>
      <w:tblGrid>
        <w:gridCol w:w="724"/>
        <w:gridCol w:w="1530"/>
        <w:gridCol w:w="855"/>
        <w:gridCol w:w="600"/>
        <w:gridCol w:w="455"/>
        <w:gridCol w:w="657"/>
        <w:gridCol w:w="1903"/>
        <w:gridCol w:w="1365"/>
        <w:gridCol w:w="765"/>
        <w:gridCol w:w="1335"/>
        <w:gridCol w:w="1530"/>
        <w:gridCol w:w="1170"/>
        <w:gridCol w:w="1151"/>
      </w:tblGrid>
      <w:tr>
        <w:tblPrEx>
          <w:tblCellMar>
            <w:top w:w="0" w:type="dxa"/>
            <w:left w:w="108" w:type="dxa"/>
            <w:bottom w:w="0" w:type="dxa"/>
            <w:right w:w="108" w:type="dxa"/>
          </w:tblCellMar>
        </w:tblPrEx>
        <w:trPr>
          <w:trHeight w:val="390" w:hRule="atLeast"/>
        </w:trPr>
        <w:tc>
          <w:tcPr>
            <w:tcW w:w="14040" w:type="dxa"/>
            <w:gridSpan w:val="13"/>
            <w:tcBorders>
              <w:top w:val="nil"/>
              <w:left w:val="nil"/>
              <w:bottom w:val="nil"/>
              <w:right w:val="nil"/>
            </w:tcBorders>
            <w:vAlign w:val="center"/>
          </w:tcPr>
          <w:p>
            <w:pPr>
              <w:widowControl/>
              <w:jc w:val="center"/>
              <w:textAlignment w:val="center"/>
              <w:rPr>
                <w:rFonts w:ascii="Times New Roman" w:hAnsi="Times New Roman" w:eastAsia="方正小标宋简体" w:cs="Times New Roman"/>
                <w:color w:val="000000"/>
                <w:sz w:val="28"/>
                <w:szCs w:val="28"/>
              </w:rPr>
            </w:pPr>
            <w:bookmarkStart w:id="0" w:name="_GoBack"/>
            <w:bookmarkEnd w:id="0"/>
            <w:r>
              <w:rPr>
                <w:rFonts w:ascii="Times New Roman" w:hAnsi="Times New Roman" w:eastAsia="方正小标宋简体" w:cs="Times New Roman"/>
                <w:color w:val="000000"/>
                <w:kern w:val="0"/>
                <w:sz w:val="44"/>
                <w:szCs w:val="44"/>
              </w:rPr>
              <w:t>河南省工程研究中心评价汇总表</w:t>
            </w:r>
          </w:p>
        </w:tc>
      </w:tr>
      <w:tr>
        <w:tblPrEx>
          <w:tblCellMar>
            <w:top w:w="0" w:type="dxa"/>
            <w:left w:w="108" w:type="dxa"/>
            <w:bottom w:w="0" w:type="dxa"/>
            <w:right w:w="108" w:type="dxa"/>
          </w:tblCellMar>
        </w:tblPrEx>
        <w:trPr>
          <w:trHeight w:val="81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宋体" w:cs="Times New Roman"/>
                <w:color w:val="000000"/>
                <w:sz w:val="24"/>
              </w:rPr>
            </w:pPr>
            <w:r>
              <w:rPr>
                <w:rStyle w:val="7"/>
                <w:rFonts w:ascii="Times New Roman" w:hAnsi="Times New Roman" w:cs="Times New Roman"/>
              </w:rPr>
              <w:t>序号</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创新平台</w:t>
            </w:r>
          </w:p>
          <w:p>
            <w:pPr>
              <w:widowControl/>
              <w:spacing w:line="240" w:lineRule="exact"/>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名称</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宋体" w:cs="Times New Roman"/>
                <w:color w:val="000000"/>
                <w:sz w:val="24"/>
              </w:rPr>
            </w:pPr>
            <w:r>
              <w:rPr>
                <w:rStyle w:val="7"/>
                <w:rFonts w:ascii="Times New Roman" w:hAnsi="Times New Roman" w:cs="Times New Roman"/>
              </w:rPr>
              <w:t>申报单位名称</w:t>
            </w:r>
          </w:p>
        </w:tc>
        <w:tc>
          <w:tcPr>
            <w:tcW w:w="171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创新平台负责人信息</w:t>
            </w:r>
          </w:p>
        </w:tc>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评价期取得的重大成果与贡献（200字以内）</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未来2年研发内容（200字以内）</w:t>
            </w:r>
          </w:p>
        </w:tc>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是否是独立法人运行模式</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所属战略性新兴产业领域</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建设地点</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主管部门</w:t>
            </w:r>
          </w:p>
        </w:tc>
      </w:tr>
      <w:tr>
        <w:tblPrEx>
          <w:tblCellMar>
            <w:top w:w="0" w:type="dxa"/>
            <w:left w:w="108" w:type="dxa"/>
            <w:bottom w:w="0" w:type="dxa"/>
            <w:right w:w="108" w:type="dxa"/>
          </w:tblCellMar>
        </w:tblPrEx>
        <w:trPr>
          <w:trHeight w:val="8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color w:val="000000"/>
                <w:sz w:val="24"/>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color w:val="00000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姓名</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职务</w:t>
            </w:r>
          </w:p>
        </w:tc>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手机号码</w:t>
            </w:r>
          </w:p>
        </w:tc>
        <w:tc>
          <w:tcPr>
            <w:tcW w:w="190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2"/>
                <w:szCs w:val="22"/>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是/否</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color w:val="000000"/>
                <w:sz w:val="22"/>
                <w:szCs w:val="22"/>
              </w:rPr>
            </w:pPr>
            <w:r>
              <w:rPr>
                <w:rFonts w:ascii="Times New Roman" w:hAnsi="Times New Roman" w:eastAsia="黑体" w:cs="Times New Roman"/>
                <w:color w:val="000000"/>
                <w:kern w:val="0"/>
                <w:sz w:val="22"/>
                <w:szCs w:val="22"/>
              </w:rPr>
              <w:t>边界是否清晰（是/否）</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2"/>
                <w:szCs w:val="22"/>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2"/>
                <w:szCs w:val="22"/>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199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cs="Times New Roman"/>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600" w:type="dxa"/>
            <w:tcBorders>
              <w:top w:val="nil"/>
              <w:left w:val="nil"/>
              <w:bottom w:val="nil"/>
              <w:right w:val="nil"/>
            </w:tcBorders>
            <w:vAlign w:val="center"/>
          </w:tcPr>
          <w:p>
            <w:pPr>
              <w:spacing w:line="240" w:lineRule="exact"/>
              <w:rPr>
                <w:rFonts w:ascii="Times New Roman" w:hAnsi="Times New Roman" w:eastAsia="宋体" w:cs="Times New Roman"/>
                <w:color w:val="000000"/>
                <w:sz w:val="24"/>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cs="Times New Roman"/>
                <w:color w:val="000000"/>
                <w:sz w:val="24"/>
              </w:rPr>
            </w:pPr>
            <w:r>
              <w:rPr>
                <w:rFonts w:ascii="Times New Roman" w:hAnsi="Times New Roman" w:cs="Times New Roman"/>
                <w:color w:val="000000"/>
                <w:kern w:val="0"/>
                <w:sz w:val="24"/>
              </w:rPr>
              <w:t>XX市、县（区）</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cs="Times New Roman"/>
                <w:color w:val="000000"/>
                <w:sz w:val="24"/>
              </w:rPr>
            </w:pPr>
            <w:r>
              <w:rPr>
                <w:rFonts w:hint="eastAsia" w:ascii="Times New Roman" w:hAnsi="Times New Roman" w:cs="Times New Roman"/>
                <w:color w:val="000000"/>
                <w:kern w:val="0"/>
                <w:sz w:val="24"/>
              </w:rPr>
              <w:t>河南省教育厅</w:t>
            </w:r>
          </w:p>
        </w:tc>
      </w:tr>
      <w:tr>
        <w:tblPrEx>
          <w:tblCellMar>
            <w:top w:w="0" w:type="dxa"/>
            <w:left w:w="108" w:type="dxa"/>
            <w:bottom w:w="0" w:type="dxa"/>
            <w:right w:w="108"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Times New Roman" w:hAnsi="Times New Roman" w:eastAsia="宋体" w:cs="Times New Roman"/>
                <w:color w:val="000000"/>
                <w:sz w:val="24"/>
              </w:rPr>
            </w:pPr>
          </w:p>
        </w:tc>
      </w:tr>
    </w:tbl>
    <w:p>
      <w:pPr>
        <w:spacing w:line="300" w:lineRule="exact"/>
        <w:rPr>
          <w:rFonts w:ascii="Times New Roman" w:hAnsi="Times New Roman" w:cs="Times New Roman"/>
          <w:sz w:val="24"/>
        </w:rPr>
      </w:pPr>
      <w:r>
        <w:rPr>
          <w:rFonts w:ascii="Times New Roman" w:hAnsi="Times New Roman" w:cs="Times New Roman"/>
          <w:sz w:val="24"/>
        </w:rPr>
        <w:t>备注：1.评价期取得的重大成果与贡献（200字以内）：结合实际情况，至少列举3条工程研究中心近2年取得的重大成果与贡献。</w:t>
      </w:r>
    </w:p>
    <w:p>
      <w:pPr>
        <w:spacing w:line="240" w:lineRule="exact"/>
        <w:ind w:left="720" w:leftChars="225"/>
        <w:rPr>
          <w:rFonts w:ascii="Times New Roman" w:hAnsi="Times New Roman" w:cs="Times New Roman"/>
          <w:sz w:val="24"/>
        </w:rPr>
      </w:pPr>
      <w:r>
        <w:rPr>
          <w:rFonts w:ascii="Times New Roman" w:hAnsi="Times New Roman" w:cs="Times New Roman"/>
          <w:sz w:val="24"/>
        </w:rPr>
        <w:t>2.未来2年研发内容（200字以内）：围绕XXX（当地主导或特色）的产业发展中的XXX（具体的）等问题，开展XXX方面等研究，突破XXX（具体的）等关键技术或开发XXX装备。</w:t>
      </w:r>
    </w:p>
    <w:p>
      <w:pPr>
        <w:spacing w:line="240" w:lineRule="exact"/>
        <w:ind w:left="720" w:leftChars="225"/>
        <w:rPr>
          <w:rFonts w:ascii="Times New Roman" w:hAnsi="Times New Roman" w:cs="Times New Roman"/>
          <w:sz w:val="24"/>
        </w:rPr>
      </w:pPr>
      <w:r>
        <w:rPr>
          <w:rFonts w:ascii="Times New Roman" w:hAnsi="Times New Roman" w:cs="Times New Roman"/>
          <w:sz w:val="24"/>
        </w:rPr>
        <w:t>3.是否是独立法人运行模式：如果是非独立法人，依托单位是否能够保证工程研究中心运行发展需要的基本运行经费和条件保障，工程研究中心运行是否相对独立，与依托单位在人、财、物的管理上是否能够保持清晰边界。</w:t>
      </w:r>
    </w:p>
    <w:p>
      <w:pPr>
        <w:spacing w:line="240" w:lineRule="exact"/>
        <w:ind w:firstLine="720" w:firstLineChars="300"/>
        <w:rPr>
          <w:rFonts w:ascii="Times New Roman" w:hAnsi="Times New Roman" w:cs="Times New Roman"/>
          <w:sz w:val="24"/>
        </w:rPr>
      </w:pPr>
      <w:r>
        <w:rPr>
          <w:rFonts w:ascii="Times New Roman" w:hAnsi="Times New Roman" w:cs="Times New Roman"/>
          <w:sz w:val="24"/>
        </w:rPr>
        <w:t>4.所属战略性新兴产业领域（依托河南省“十四五”战略性新兴产业和未来产业发展规划）：新一代信息技术、生物技术、新材料、</w:t>
      </w:r>
    </w:p>
    <w:p>
      <w:pPr>
        <w:spacing w:line="240" w:lineRule="exact"/>
        <w:ind w:left="960" w:leftChars="225" w:hanging="240" w:hangingChars="100"/>
        <w:rPr>
          <w:rFonts w:ascii="Times New Roman" w:hAnsi="Times New Roman" w:cs="Times New Roman"/>
          <w:sz w:val="24"/>
        </w:rPr>
      </w:pPr>
      <w:r>
        <w:rPr>
          <w:rFonts w:ascii="Times New Roman" w:hAnsi="Times New Roman" w:cs="Times New Roman"/>
          <w:sz w:val="24"/>
        </w:rPr>
        <w:t>节能环保、高端装备、新能源、新能源及智能网联汽车、航空航天和新兴服务业等9大战略性新兴产业，量子信息、氢能与储</w:t>
      </w:r>
    </w:p>
    <w:p>
      <w:pPr>
        <w:spacing w:line="240" w:lineRule="exact"/>
        <w:ind w:left="960" w:leftChars="225" w:hanging="240" w:hangingChars="100"/>
        <w:rPr>
          <w:rFonts w:ascii="Times New Roman" w:hAnsi="Times New Roman" w:cs="Times New Roman"/>
          <w:sz w:val="24"/>
        </w:rPr>
      </w:pPr>
      <w:r>
        <w:rPr>
          <w:rFonts w:ascii="Times New Roman" w:hAnsi="Times New Roman" w:cs="Times New Roman"/>
          <w:sz w:val="24"/>
        </w:rPr>
        <w:t>能、类脑智能、未来网络、生命健康、前沿新材料等6大未来产业，其他。</w:t>
      </w:r>
    </w:p>
    <w:p>
      <w:pPr>
        <w:spacing w:line="240" w:lineRule="exact"/>
        <w:ind w:firstLine="720" w:firstLineChars="300"/>
      </w:pPr>
      <w:r>
        <w:rPr>
          <w:rFonts w:ascii="Times New Roman" w:hAnsi="Times New Roman" w:cs="Times New Roman"/>
          <w:sz w:val="24"/>
        </w:rPr>
        <w:t>5.本表由工程研究中心填报、主管部门汇总。</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ight="320" w:rightChars="100"/>
      <w:jc w:val="center"/>
      <w:rPr>
        <w:rFonts w:ascii="Times New Roman" w:hAnsi="Times New Roman" w:eastAsia="仿宋_GB2312" w:cs="Times New Roman"/>
        <w:szCs w:val="24"/>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7161A"/>
    <w:rsid w:val="001C0CD8"/>
    <w:rsid w:val="00575600"/>
    <w:rsid w:val="00672032"/>
    <w:rsid w:val="007A1276"/>
    <w:rsid w:val="007E1B10"/>
    <w:rsid w:val="008879CE"/>
    <w:rsid w:val="00B36C45"/>
    <w:rsid w:val="00B5285D"/>
    <w:rsid w:val="00B800E3"/>
    <w:rsid w:val="00F12428"/>
    <w:rsid w:val="0E67161A"/>
    <w:rsid w:val="4D07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rFonts w:ascii="Calibri" w:hAnsi="Calibri" w:eastAsia="宋体"/>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21"/>
    <w:basedOn w:val="6"/>
    <w:autoRedefine/>
    <w:qFormat/>
    <w:uiPriority w:val="0"/>
    <w:rPr>
      <w:rFonts w:ascii="黑体" w:hAnsi="宋体" w:eastAsia="黑体" w:cs="黑体"/>
      <w:color w:val="000000"/>
      <w:sz w:val="24"/>
      <w:szCs w:val="24"/>
      <w:u w:val="none"/>
    </w:rPr>
  </w:style>
  <w:style w:type="character" w:customStyle="1" w:styleId="8">
    <w:name w:val="页眉 Char"/>
    <w:basedOn w:val="6"/>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1</Pages>
  <Words>94</Words>
  <Characters>541</Characters>
  <Lines>4</Lines>
  <Paragraphs>1</Paragraphs>
  <TotalTime>1</TotalTime>
  <ScaleCrop>false</ScaleCrop>
  <LinksUpToDate>false</LinksUpToDate>
  <CharactersWithSpaces>634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2024-03-19T07:30:00Z</dcterms:created>
  <dc:creator>系统管理员</dc:creator>
  <cp:lastModifiedBy>微信用户</cp:lastModifiedBy>
  <dcterms:modified xsi:type="dcterms:W3CDTF">2024-03-25T08:13:16Z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D6A8A00AE8134E7691C8504B39B7E684_13</vt:lpwstr>
  </property>
</Properties>
</file>