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4D6D">
      <w:pPr>
        <w:pStyle w:val="3"/>
        <w:spacing w:before="54"/>
        <w:ind w:left="288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 w14:paraId="1CE1DDA9">
      <w:pPr>
        <w:pStyle w:val="3"/>
        <w:spacing w:before="2"/>
        <w:rPr>
          <w:rFonts w:ascii="黑体"/>
          <w:sz w:val="53"/>
        </w:rPr>
      </w:pPr>
    </w:p>
    <w:p w14:paraId="5A995A6B">
      <w:pPr>
        <w:pStyle w:val="2"/>
        <w:spacing w:line="206" w:lineRule="auto"/>
        <w:ind w:left="2864" w:right="1106" w:hanging="1870"/>
      </w:pPr>
      <w:bookmarkStart w:id="0" w:name="_GoBack"/>
      <w:r>
        <w:t>河南省教育厅2025年度教育财务管理科研项目选题指南</w:t>
      </w:r>
    </w:p>
    <w:bookmarkEnd w:id="0"/>
    <w:p w14:paraId="0E7A274E">
      <w:pPr>
        <w:spacing w:before="310"/>
        <w:ind w:left="28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一、资助性项目（原题申报）</w:t>
      </w:r>
    </w:p>
    <w:tbl>
      <w:tblPr>
        <w:tblStyle w:val="6"/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770"/>
        <w:gridCol w:w="1351"/>
      </w:tblGrid>
      <w:tr w14:paraId="00A86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C8FEE4D">
            <w:pPr>
              <w:pStyle w:val="8"/>
              <w:spacing w:before="73"/>
              <w:ind w:left="181" w:right="16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6770" w:type="dxa"/>
          </w:tcPr>
          <w:p w14:paraId="5BFA9596">
            <w:pPr>
              <w:pStyle w:val="8"/>
              <w:spacing w:before="73"/>
              <w:ind w:left="2529" w:right="250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141332AE">
            <w:pPr>
              <w:pStyle w:val="8"/>
              <w:spacing w:before="73"/>
              <w:ind w:left="4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7D74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3D6E892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770" w:type="dxa"/>
          </w:tcPr>
          <w:p w14:paraId="78DE9C0D">
            <w:pPr>
              <w:pStyle w:val="8"/>
              <w:spacing w:before="72"/>
              <w:ind w:left="2529" w:right="2510"/>
              <w:jc w:val="center"/>
              <w:rPr>
                <w:sz w:val="24"/>
              </w:rPr>
            </w:pPr>
            <w:r>
              <w:rPr>
                <w:sz w:val="24"/>
              </w:rPr>
              <w:t>（一）重点项目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7E6A971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9E2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08EB9CAF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0" w:type="dxa"/>
          </w:tcPr>
          <w:p w14:paraId="4152A717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教育经费分配机制优化与动态调整研究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5CDDCAC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A87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63F682C9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0" w:type="dxa"/>
          </w:tcPr>
          <w:p w14:paraId="63448D03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基于风险控制视角的单位内控体系优化研究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710C483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4762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7FA7012B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0" w:type="dxa"/>
          </w:tcPr>
          <w:p w14:paraId="58065405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高校经济决策实施效果评估与优化建议研究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7FDF281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798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14D5F48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0" w:type="dxa"/>
          </w:tcPr>
          <w:p w14:paraId="596E7ACC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大数据与人工智能在教育财务管理中的应用研究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2D72E62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965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4AD97BD7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0" w:type="dxa"/>
          </w:tcPr>
          <w:p w14:paraId="0D598DA9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事业单位低效资产盘活路径探索与实践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39E1ECF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4B7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009ED297">
            <w:pPr>
              <w:pStyle w:val="8"/>
              <w:spacing w:before="7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0" w:type="dxa"/>
          </w:tcPr>
          <w:p w14:paraId="34C8A381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人口变化背景下基础教育投入机制应对路径研究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1BE118D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B74F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37844CE1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0" w:type="dxa"/>
          </w:tcPr>
          <w:p w14:paraId="056C4244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民办高校财务风险评价与预警机制构建研究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055DE8D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9B7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3AE02555">
            <w:pPr>
              <w:pStyle w:val="8"/>
              <w:spacing w:before="5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0" w:type="dxa"/>
          </w:tcPr>
          <w:p w14:paraId="1AE02E35">
            <w:pPr>
              <w:pStyle w:val="8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高校重大经济活动治理与风险防范研究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61CA413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6B3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43FC2945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0" w:type="dxa"/>
          </w:tcPr>
          <w:p w14:paraId="50912164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高校内部审计发现问题整改精细化路径研究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1C8C6CD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D42B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938D7E0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0" w:type="dxa"/>
          </w:tcPr>
          <w:p w14:paraId="19266E8E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产教融合背景下职业教育收费政策优化路径研究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3264FD9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049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4" w:type="dxa"/>
            <w:tcBorders>
              <w:left w:val="single" w:color="000000" w:sz="8" w:space="0"/>
              <w:bottom w:val="single" w:color="000000" w:sz="8" w:space="0"/>
            </w:tcBorders>
          </w:tcPr>
          <w:p w14:paraId="1C3B2B1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770" w:type="dxa"/>
            <w:tcBorders>
              <w:bottom w:val="single" w:color="000000" w:sz="8" w:space="0"/>
            </w:tcBorders>
          </w:tcPr>
          <w:p w14:paraId="08F0509B">
            <w:pPr>
              <w:pStyle w:val="8"/>
              <w:spacing w:before="102"/>
              <w:ind w:left="2529" w:right="2510"/>
              <w:jc w:val="center"/>
              <w:rPr>
                <w:sz w:val="24"/>
              </w:rPr>
            </w:pPr>
            <w:r>
              <w:rPr>
                <w:sz w:val="24"/>
              </w:rPr>
              <w:t>（二）一般项目</w:t>
            </w:r>
          </w:p>
        </w:tc>
        <w:tc>
          <w:tcPr>
            <w:tcW w:w="1351" w:type="dxa"/>
            <w:tcBorders>
              <w:bottom w:val="single" w:color="000000" w:sz="8" w:space="0"/>
              <w:right w:val="single" w:color="000000" w:sz="8" w:space="0"/>
            </w:tcBorders>
          </w:tcPr>
          <w:p w14:paraId="720730F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1E1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CCA3A40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4BB12F4B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新型研究型大学可持续发展的投入机制研究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2742F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DA39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F2D5CC1">
            <w:pPr>
              <w:pStyle w:val="8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43D363EC">
            <w:pPr>
              <w:pStyle w:val="8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城乡学校经费分配差异及优化策略研究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219BE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5E2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2BD144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6D4D7090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普通高中多样化高质量发展的投入机制研究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3DA43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3B9B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D1E562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569A3287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高校经费使用与区域经济协调发展长效机制研究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15A7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330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4534AC6">
            <w:pPr>
              <w:pStyle w:val="8"/>
              <w:spacing w:before="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0B2081EA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经济波动对教育经费投入的影响及应对策略研究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C37E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F9FC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664088">
            <w:pPr>
              <w:pStyle w:val="8"/>
              <w:spacing w:before="7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46B837F4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教育经费统计数据分析与实践应用研究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09280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889B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2E89AC4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6F801FA0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高校生均培养成本资源配置研究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ADA12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410FC3FA">
      <w:pPr>
        <w:spacing w:after="0"/>
        <w:rPr>
          <w:rFonts w:ascii="Times New Roman"/>
          <w:sz w:val="24"/>
        </w:rPr>
        <w:sectPr>
          <w:pgSz w:w="11910" w:h="16840"/>
          <w:pgMar w:top="1580" w:right="1240" w:bottom="1960" w:left="1300" w:header="0" w:footer="1554" w:gutter="0"/>
          <w:cols w:space="720" w:num="1"/>
        </w:sectPr>
      </w:pPr>
    </w:p>
    <w:p w14:paraId="6B7B60DF">
      <w:pPr>
        <w:pStyle w:val="3"/>
        <w:rPr>
          <w:rFonts w:ascii="Times New Roman"/>
          <w:sz w:val="20"/>
        </w:rPr>
      </w:pPr>
    </w:p>
    <w:p w14:paraId="49CD63EB">
      <w:pPr>
        <w:pStyle w:val="3"/>
        <w:rPr>
          <w:rFonts w:ascii="Times New Roman"/>
          <w:sz w:val="20"/>
        </w:rPr>
      </w:pPr>
    </w:p>
    <w:p w14:paraId="7D43DE7F">
      <w:pPr>
        <w:pStyle w:val="3"/>
        <w:spacing w:before="3"/>
        <w:rPr>
          <w:rFonts w:ascii="Times New Roman"/>
          <w:sz w:val="18"/>
        </w:rPr>
      </w:pPr>
    </w:p>
    <w:tbl>
      <w:tblPr>
        <w:tblStyle w:val="6"/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770"/>
        <w:gridCol w:w="1351"/>
      </w:tblGrid>
      <w:tr w14:paraId="31D0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7457C7F1">
            <w:pPr>
              <w:pStyle w:val="8"/>
              <w:spacing w:before="82"/>
              <w:ind w:left="181" w:right="16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6770" w:type="dxa"/>
          </w:tcPr>
          <w:p w14:paraId="6BBABC19">
            <w:pPr>
              <w:pStyle w:val="8"/>
              <w:spacing w:before="82"/>
              <w:ind w:left="2529" w:right="250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7BCF1B41">
            <w:pPr>
              <w:pStyle w:val="8"/>
              <w:spacing w:before="82"/>
              <w:ind w:left="4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75C8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  <w:bottom w:val="single" w:color="000000" w:sz="8" w:space="0"/>
            </w:tcBorders>
          </w:tcPr>
          <w:p w14:paraId="4CDA5CBE">
            <w:pPr>
              <w:pStyle w:val="8"/>
              <w:spacing w:before="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0" w:type="dxa"/>
            <w:tcBorders>
              <w:bottom w:val="single" w:color="000000" w:sz="8" w:space="0"/>
            </w:tcBorders>
          </w:tcPr>
          <w:p w14:paraId="714EFA70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专门学校经费保障机制研究</w:t>
            </w:r>
          </w:p>
        </w:tc>
        <w:tc>
          <w:tcPr>
            <w:tcW w:w="1351" w:type="dxa"/>
            <w:tcBorders>
              <w:bottom w:val="single" w:color="000000" w:sz="8" w:space="0"/>
              <w:right w:val="single" w:color="000000" w:sz="8" w:space="0"/>
            </w:tcBorders>
          </w:tcPr>
          <w:p w14:paraId="2DCC6A7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6FBF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0EAC777">
            <w:pPr>
              <w:pStyle w:val="8"/>
              <w:spacing w:before="7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48619819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民办高校现代化财务治理体系路径研究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5D728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208F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F97D4DD">
            <w:pPr>
              <w:pStyle w:val="8"/>
              <w:spacing w:before="74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6F01EBDA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审计监督与纪检监察、财会监督深入融合路径研究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E56D2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EBB6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2C3B3DE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5708EE0E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学校内部资金分配机制设计与实施策略-基于支出预算标准化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7A2B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7D28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B21616B">
            <w:pPr>
              <w:pStyle w:val="8"/>
              <w:spacing w:before="74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6842EEF3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高校后勤数智化平台设计与实现研究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20311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275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442835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39651B8E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教育强省背景下教育收费治理路径研究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DE97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0904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D75E503">
            <w:pPr>
              <w:pStyle w:val="8"/>
              <w:spacing w:before="74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1BF4C426">
            <w:pPr>
              <w:pStyle w:val="8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新形势下事业单位财会队伍建设与人员配置探讨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F054D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B431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FD38C4D">
            <w:pPr>
              <w:pStyle w:val="8"/>
              <w:spacing w:before="7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61A520AC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民办高校债务结构优化与融资成本最小化策略研究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87DBD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395D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945D882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0FC2896E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研究型大学财务数据挖掘在事业发展趋势预测中的应用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7385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9B4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76E1D6">
            <w:pPr>
              <w:pStyle w:val="8"/>
              <w:spacing w:before="7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056B63AE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高校财务信息化发展现状及提升路径研究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DFB3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58E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25FA41F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0" w:type="dxa"/>
            <w:tcBorders>
              <w:top w:val="single" w:color="000000" w:sz="8" w:space="0"/>
              <w:bottom w:val="single" w:color="000000" w:sz="8" w:space="0"/>
            </w:tcBorders>
          </w:tcPr>
          <w:p w14:paraId="78E9A972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高校债务风险的形成机理与化解对策研究</w:t>
            </w:r>
          </w:p>
        </w:tc>
        <w:tc>
          <w:tcPr>
            <w:tcW w:w="13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AD3D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25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</w:tcBorders>
          </w:tcPr>
          <w:p w14:paraId="6AE4C17F">
            <w:pPr>
              <w:pStyle w:val="8"/>
              <w:spacing w:before="7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70" w:type="dxa"/>
            <w:tcBorders>
              <w:top w:val="single" w:color="000000" w:sz="8" w:space="0"/>
            </w:tcBorders>
          </w:tcPr>
          <w:p w14:paraId="7C947B87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人工智能在绩效管理中的应用探索</w:t>
            </w:r>
          </w:p>
        </w:tc>
        <w:tc>
          <w:tcPr>
            <w:tcW w:w="1351" w:type="dxa"/>
            <w:tcBorders>
              <w:top w:val="single" w:color="000000" w:sz="8" w:space="0"/>
              <w:right w:val="single" w:color="000000" w:sz="8" w:space="0"/>
            </w:tcBorders>
          </w:tcPr>
          <w:p w14:paraId="741B3E7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7511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4FF0BD67">
            <w:pPr>
              <w:pStyle w:val="8"/>
              <w:spacing w:before="7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0" w:type="dxa"/>
          </w:tcPr>
          <w:p w14:paraId="72AF0FAC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教育专项债券支持高校基础设施建设的实证研究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02C1207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3C7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48EF25CE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70" w:type="dxa"/>
          </w:tcPr>
          <w:p w14:paraId="5352913D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教育经费执行中的“最后一公里”问题研究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4CD2289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E11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31665D1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0" w:type="dxa"/>
          </w:tcPr>
          <w:p w14:paraId="62A53918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内部控制视角下高校资产管理效率提升策略研究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63A15EE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276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0C9E577C">
            <w:pPr>
              <w:pStyle w:val="8"/>
              <w:spacing w:before="7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0" w:type="dxa"/>
          </w:tcPr>
          <w:p w14:paraId="43815280">
            <w:pPr>
              <w:pStyle w:val="8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高校科研经费放管服与财会监督协同机制构建研究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7C8AD81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82F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20863E9F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70" w:type="dxa"/>
          </w:tcPr>
          <w:p w14:paraId="7801BF91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高职院校学生资助政策体系实施成效与优化对策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69251DA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3349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034498FC">
            <w:pPr>
              <w:pStyle w:val="8"/>
              <w:spacing w:before="73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0" w:type="dxa"/>
          </w:tcPr>
          <w:p w14:paraId="35300909">
            <w:pPr>
              <w:pStyle w:val="8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职业教育产教融合的财税政策研究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 w14:paraId="1E09B745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7A7FE6A1"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240" w:bottom="1880" w:left="1300" w:header="0" w:footer="1699" w:gutter="0"/>
          <w:cols w:space="720" w:num="1"/>
        </w:sectPr>
      </w:pPr>
    </w:p>
    <w:p w14:paraId="30AEE017">
      <w:pPr>
        <w:pStyle w:val="3"/>
        <w:rPr>
          <w:rFonts w:ascii="Times New Roman"/>
          <w:sz w:val="20"/>
        </w:rPr>
      </w:pPr>
    </w:p>
    <w:p w14:paraId="54726B08">
      <w:pPr>
        <w:pStyle w:val="3"/>
        <w:rPr>
          <w:rFonts w:ascii="Times New Roman"/>
          <w:sz w:val="20"/>
        </w:rPr>
      </w:pPr>
    </w:p>
    <w:p w14:paraId="01CF46D2">
      <w:pPr>
        <w:pStyle w:val="3"/>
        <w:spacing w:before="10"/>
        <w:rPr>
          <w:rFonts w:ascii="Times New Roman"/>
          <w:sz w:val="22"/>
        </w:rPr>
      </w:pPr>
    </w:p>
    <w:p w14:paraId="16102590">
      <w:pPr>
        <w:spacing w:before="62"/>
        <w:ind w:left="28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二、指导性项目（选题申报）</w:t>
      </w:r>
    </w:p>
    <w:p w14:paraId="475E56D8">
      <w:pPr>
        <w:pStyle w:val="3"/>
        <w:spacing w:before="11"/>
        <w:rPr>
          <w:rFonts w:ascii="黑体"/>
          <w:sz w:val="8"/>
        </w:rPr>
      </w:pPr>
    </w:p>
    <w:tbl>
      <w:tblPr>
        <w:tblStyle w:val="6"/>
        <w:tblW w:w="0" w:type="auto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123"/>
        <w:gridCol w:w="1676"/>
      </w:tblGrid>
      <w:tr w14:paraId="038D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23E8EBE7">
            <w:pPr>
              <w:pStyle w:val="8"/>
              <w:spacing w:before="129"/>
              <w:ind w:left="181" w:right="16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6123" w:type="dxa"/>
          </w:tcPr>
          <w:p w14:paraId="7643C9FD">
            <w:pPr>
              <w:pStyle w:val="8"/>
              <w:spacing w:before="129"/>
              <w:ind w:left="2565" w:right="254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项目范围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386FE926">
            <w:pPr>
              <w:pStyle w:val="8"/>
              <w:spacing w:before="129"/>
              <w:ind w:left="580" w:right="56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4851A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3F5AD3C3">
            <w:pPr>
              <w:pStyle w:val="8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3" w:type="dxa"/>
          </w:tcPr>
          <w:p w14:paraId="19E2C134">
            <w:pPr>
              <w:pStyle w:val="8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财政体制与政策研究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4E7873E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21E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21618D5E">
            <w:pPr>
              <w:pStyle w:val="8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3" w:type="dxa"/>
          </w:tcPr>
          <w:p w14:paraId="0F0971B4">
            <w:pPr>
              <w:pStyle w:val="8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预算管理创新研究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46F5668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36BF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769ED475">
            <w:pPr>
              <w:pStyle w:val="8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3" w:type="dxa"/>
          </w:tcPr>
          <w:p w14:paraId="2BFA1174">
            <w:pPr>
              <w:pStyle w:val="8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教育经费筹融资研究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597B6FB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423E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742E77F">
            <w:pPr>
              <w:pStyle w:val="8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3" w:type="dxa"/>
          </w:tcPr>
          <w:p w14:paraId="67675C3C">
            <w:pPr>
              <w:pStyle w:val="8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资金管理与运作机制研究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02A03B2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F744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10BD0411">
            <w:pPr>
              <w:pStyle w:val="8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3" w:type="dxa"/>
          </w:tcPr>
          <w:p w14:paraId="3C4A00A0">
            <w:pPr>
              <w:pStyle w:val="8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风险识别与防控机制研究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1BC104E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B588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3BEF53EA">
            <w:pPr>
              <w:pStyle w:val="8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3" w:type="dxa"/>
          </w:tcPr>
          <w:p w14:paraId="40045248">
            <w:pPr>
              <w:pStyle w:val="8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教育收费治理研究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146DD35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7DEC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4299DA88">
            <w:pPr>
              <w:pStyle w:val="8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3" w:type="dxa"/>
          </w:tcPr>
          <w:p w14:paraId="74AF68C6">
            <w:pPr>
              <w:pStyle w:val="8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经费结构持续优化路径研究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1AE1058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B6C7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5F6729DA">
            <w:pPr>
              <w:pStyle w:val="8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3" w:type="dxa"/>
          </w:tcPr>
          <w:p w14:paraId="46CAD90C">
            <w:pPr>
              <w:pStyle w:val="8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教育资源配置与优化研究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7700C8A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5D55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5AA94450">
            <w:pPr>
              <w:pStyle w:val="8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3" w:type="dxa"/>
          </w:tcPr>
          <w:p w14:paraId="78E55DA3">
            <w:pPr>
              <w:pStyle w:val="8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财政责任分担机制研究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3DE5DE4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B41C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4" w:type="dxa"/>
            <w:tcBorders>
              <w:left w:val="single" w:color="000000" w:sz="8" w:space="0"/>
            </w:tcBorders>
          </w:tcPr>
          <w:p w14:paraId="0D221EB7">
            <w:pPr>
              <w:pStyle w:val="8"/>
              <w:spacing w:before="128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3" w:type="dxa"/>
          </w:tcPr>
          <w:p w14:paraId="4837742C">
            <w:pPr>
              <w:pStyle w:val="8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服务经济社会发展研究</w:t>
            </w:r>
          </w:p>
        </w:tc>
        <w:tc>
          <w:tcPr>
            <w:tcW w:w="1676" w:type="dxa"/>
            <w:tcBorders>
              <w:right w:val="single" w:color="000000" w:sz="8" w:space="0"/>
            </w:tcBorders>
          </w:tcPr>
          <w:p w14:paraId="06366054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E7D2888">
      <w:pPr>
        <w:spacing w:after="0"/>
        <w:rPr>
          <w:rFonts w:ascii="Times New Roman"/>
          <w:sz w:val="24"/>
        </w:rPr>
        <w:sectPr>
          <w:pgSz w:w="11910" w:h="16840"/>
          <w:pgMar w:top="1580" w:right="1240" w:bottom="1960" w:left="1300" w:header="0" w:footer="1779" w:gutter="0"/>
          <w:cols w:space="720" w:num="1"/>
        </w:sectPr>
      </w:pPr>
    </w:p>
    <w:p w14:paraId="015A4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E0183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9422130</wp:posOffset>
              </wp:positionV>
              <wp:extent cx="693420" cy="243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90004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55pt;margin-top:741.9pt;height:19.15pt;width:54.6pt;mso-position-horizontal-relative:page;mso-position-vertical-relative:page;z-index:-251657216;mso-width-relative:page;mso-height-relative:page;" filled="f" stroked="f" coordsize="21600,21600" o:gfxdata="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jVdjdsAAAAOAQAADwAAAAAAAAABACAAAAAiAAAAZHJzL2Rvd25yZXYueG1sUEsB&#10;AhQAFAAAAAgAh07iQKWoCZG5AQAAcQMAAA4AAAAAAAAAAQAgAAAAKg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3C90004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27000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9422130</wp:posOffset>
              </wp:positionV>
              <wp:extent cx="691515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63A7A">
                          <w:pPr>
                            <w:spacing w:before="0" w:line="362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6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41.9pt;height:19.15pt;width:54.45pt;mso-position-horizontal-relative:page;mso-position-vertical-relative:page;z-index:-251657216;mso-width-relative:page;mso-height-relative:page;" filled="f" stroked="f" coordsize="21600,21600" o:gfxdata="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sQlFNkAAAANAQAADwAAAAAAAAABACAAAAAiAAAAZHJzL2Rvd25yZXYueG1sUEsB&#10;AhQAFAAAAAgAh07iQAeoTsC7AQAAcQMAAA4AAAAAAAAAAQAgAAAAKA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163A7A">
                    <w:pPr>
                      <w:spacing w:before="0" w:line="362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6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0BD7"/>
    <w:rsid w:val="6D1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439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2025-01-09T03:35:00Z</dcterms:created>
  <dc:creator>张梦蝶</dc:creator>
  <cp:lastModifiedBy>张梦蝶</cp:lastModifiedBy>
  <dcterms:modified xsi:type="dcterms:W3CDTF">2025-01-09T03:37:38Z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FF3D507BCF47488BBF993C1266CB5A8B_11</vt:lpwstr>
  </property>
  <property fmtid="{D5CDD505-2E9C-101B-9397-08002B2CF9AE}" pid="4" name="KSOTemplateDocerSaveRecord">
    <vt:lpwstr>eyJoZGlkIjoiYTFiMmE2YTRmN2VlODI1Njc4ZTJlN2MxMTY3MjE2NjUiLCJ1c2VySWQiOiIxNjU2Nzg0MjQzIn0=</vt:lpwstr>
  </property>
</Properties>
</file>