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after="0" w:line="594" w:lineRule="exact"/>
        <w:jc w:val="left"/>
        <w:textAlignment w:val="auto"/>
        <w:rPr>
          <w:rFonts w:hint="default" w:ascii="黑体" w:hAnsi="黑体" w:eastAsia="黑体" w:cs="黑体"/>
          <w:b w:val="0"/>
          <w:bCs/>
          <w:color w:val="000000"/>
          <w:kern w:val="0"/>
          <w:sz w:val="32"/>
          <w:szCs w:val="32"/>
          <w:lang w:val="en-US" w:eastAsia="zh-CN"/>
        </w:rPr>
      </w:pPr>
      <w:r>
        <w:rPr>
          <w:rFonts w:hint="eastAsia" w:ascii="黑体" w:hAnsi="黑体" w:cs="黑体"/>
          <w:b w:val="0"/>
          <w:bCs/>
          <w:color w:val="000000"/>
          <w:kern w:val="0"/>
          <w:sz w:val="32"/>
          <w:szCs w:val="32"/>
          <w:lang w:val="en-US" w:eastAsia="zh-CN"/>
        </w:rPr>
        <w:t>附件1</w:t>
      </w:r>
      <w:bookmarkStart w:id="5" w:name="_GoBack"/>
      <w:bookmarkEnd w:id="5"/>
    </w:p>
    <w:p>
      <w:pPr>
        <w:pageBreakBefore w:val="0"/>
        <w:kinsoku/>
        <w:wordWrap/>
        <w:overflowPunct/>
        <w:topLinePunct w:val="0"/>
        <w:autoSpaceDE/>
        <w:autoSpaceDN/>
        <w:bidi w:val="0"/>
        <w:adjustRightInd/>
        <w:snapToGrid/>
        <w:spacing w:line="594" w:lineRule="exact"/>
        <w:textAlignment w:val="auto"/>
      </w:pPr>
    </w:p>
    <w:p>
      <w:pPr>
        <w:pStyle w:val="3"/>
        <w:pageBreakBefore w:val="0"/>
        <w:kinsoku/>
        <w:wordWrap/>
        <w:overflowPunct/>
        <w:topLinePunct w:val="0"/>
        <w:autoSpaceDE/>
        <w:autoSpaceDN/>
        <w:bidi w:val="0"/>
        <w:adjustRightInd/>
        <w:snapToGrid/>
        <w:spacing w:before="0" w:after="0" w:line="594"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期货交割棉质量公证检验工作规程</w:t>
      </w:r>
    </w:p>
    <w:p>
      <w:pPr>
        <w:pStyle w:val="3"/>
        <w:pageBreakBefore w:val="0"/>
        <w:kinsoku/>
        <w:wordWrap/>
        <w:overflowPunct/>
        <w:topLinePunct w:val="0"/>
        <w:autoSpaceDE/>
        <w:autoSpaceDN/>
        <w:bidi w:val="0"/>
        <w:adjustRightInd/>
        <w:snapToGrid/>
        <w:spacing w:before="0" w:after="0" w:line="594" w:lineRule="exact"/>
        <w:jc w:val="center"/>
        <w:textAlignment w:val="auto"/>
        <w:rPr>
          <w:rFonts w:hint="eastAsia" w:ascii="仿宋_GB2312" w:hAnsi="仿宋_GB2312" w:eastAsia="方正小标宋简体" w:cs="仿宋_GB2312"/>
          <w:color w:val="000000"/>
          <w:kern w:val="0"/>
          <w:szCs w:val="32"/>
          <w:lang w:eastAsia="zh-CN"/>
        </w:rPr>
      </w:pPr>
      <w:r>
        <w:rPr>
          <w:rFonts w:hint="eastAsia" w:ascii="方正小标宋简体" w:hAnsi="方正小标宋简体" w:eastAsia="方正小标宋简体" w:cs="方正小标宋简体"/>
          <w:b w:val="0"/>
          <w:bCs/>
          <w:color w:val="000000"/>
          <w:kern w:val="0"/>
          <w:sz w:val="44"/>
          <w:szCs w:val="44"/>
          <w:lang w:eastAsia="zh-CN"/>
        </w:rPr>
        <w:t>（</w:t>
      </w:r>
      <w:r>
        <w:rPr>
          <w:rFonts w:hint="eastAsia" w:ascii="方正小标宋简体" w:hAnsi="方正小标宋简体" w:eastAsia="方正小标宋简体" w:cs="方正小标宋简体"/>
          <w:b w:val="0"/>
          <w:bCs/>
          <w:color w:val="000000"/>
          <w:kern w:val="0"/>
          <w:sz w:val="44"/>
          <w:szCs w:val="44"/>
          <w:lang w:val="en-US" w:eastAsia="zh-CN"/>
        </w:rPr>
        <w:t>征求意见稿</w:t>
      </w:r>
      <w:r>
        <w:rPr>
          <w:rFonts w:hint="eastAsia" w:ascii="方正小标宋简体" w:hAnsi="方正小标宋简体" w:eastAsia="方正小标宋简体" w:cs="方正小标宋简体"/>
          <w:b w:val="0"/>
          <w:bCs/>
          <w:color w:val="000000"/>
          <w:kern w:val="0"/>
          <w:sz w:val="44"/>
          <w:szCs w:val="44"/>
          <w:lang w:eastAsia="zh-CN"/>
        </w:rPr>
        <w:t>）</w:t>
      </w:r>
    </w:p>
    <w:p>
      <w:pPr>
        <w:pStyle w:val="3"/>
        <w:pageBreakBefore w:val="0"/>
        <w:kinsoku/>
        <w:wordWrap/>
        <w:overflowPunct/>
        <w:topLinePunct w:val="0"/>
        <w:autoSpaceDE/>
        <w:autoSpaceDN/>
        <w:bidi w:val="0"/>
        <w:adjustRightInd/>
        <w:snapToGrid/>
        <w:spacing w:before="0" w:after="0" w:line="594" w:lineRule="exact"/>
        <w:jc w:val="center"/>
        <w:textAlignment w:val="auto"/>
        <w:rPr>
          <w:rFonts w:ascii="楷体_GB2312" w:hAnsi="楷体_GB2312" w:eastAsia="楷体_GB2312" w:cs="楷体_GB2312"/>
          <w:b w:val="0"/>
          <w:bCs/>
          <w:szCs w:val="32"/>
        </w:rPr>
      </w:pPr>
    </w:p>
    <w:p>
      <w:pPr>
        <w:pageBreakBefore w:val="0"/>
        <w:kinsoku/>
        <w:wordWrap/>
        <w:overflowPunct/>
        <w:topLinePunct w:val="0"/>
        <w:autoSpaceDE/>
        <w:autoSpaceDN/>
        <w:bidi w:val="0"/>
        <w:adjustRightInd/>
        <w:snapToGrid/>
        <w:spacing w:line="594" w:lineRule="exact"/>
        <w:textAlignment w:val="auto"/>
      </w:pPr>
    </w:p>
    <w:p>
      <w:pPr>
        <w:pStyle w:val="3"/>
        <w:pageBreakBefore w:val="0"/>
        <w:numPr>
          <w:ilvl w:val="0"/>
          <w:numId w:val="1"/>
        </w:numPr>
        <w:kinsoku/>
        <w:wordWrap/>
        <w:overflowPunct/>
        <w:topLinePunct w:val="0"/>
        <w:autoSpaceDE/>
        <w:autoSpaceDN/>
        <w:bidi w:val="0"/>
        <w:adjustRightInd/>
        <w:snapToGrid/>
        <w:spacing w:before="0" w:after="0" w:line="594" w:lineRule="exact"/>
        <w:jc w:val="center"/>
        <w:textAlignment w:val="auto"/>
        <w:rPr>
          <w:rFonts w:ascii="黑体" w:hAnsi="黑体" w:cs="黑体"/>
          <w:b w:val="0"/>
          <w:bCs/>
          <w:szCs w:val="32"/>
        </w:rPr>
      </w:pPr>
      <w:r>
        <w:rPr>
          <w:rFonts w:hint="eastAsia" w:ascii="黑体" w:hAnsi="黑体" w:cs="黑体"/>
          <w:b w:val="0"/>
          <w:bCs/>
          <w:szCs w:val="32"/>
        </w:rPr>
        <w:t>总则</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为做好期货交割棉质量公证检验（以下简称“期货棉公检”）工作，规范工作程序，保证工作质量，中国纤维质量监测中心（以下简称“中纤中心”）根据《棉花质量公证检验实施暂行办法》，制定本规程。</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参与期货棉公检的相关单位应当遵守本规程。</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期货棉公检是指对棉花加工企业按照棉花国家标准生产、并向郑州商品交易所（以下简称“郑商所”）申请注册期货标准仓单的锯齿加工细绒棉（以下简称“期货棉”）进行的公证检验（以下简称“公检”）。</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地方各级承检机构负责具体实施期货棉公检工作，其中具体实施品质检验工作的承检机构称为公检实验室，具体实施抽样和重量检验工作的承检机构称为在库机构。</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期货棉交割仓库（以下简称“交割仓库”）有两个或两个以上在库机构的，确定一个在库机构为主检机构，其余在库机构为配合机构。现场工作由主检机构组织和管理，配合机构应积极配合主检机构完成现场工作。</w:t>
      </w:r>
      <w:r>
        <w:rPr>
          <w:rFonts w:hint="eastAsia" w:ascii="仿宋_GB2312" w:hAnsi="仿宋_GB2312" w:eastAsia="仿宋_GB2312" w:cs="仿宋_GB2312"/>
          <w:kern w:val="0"/>
          <w:sz w:val="32"/>
          <w:szCs w:val="32"/>
        </w:rPr>
        <w:br w:type="textWrapping"/>
      </w:r>
    </w:p>
    <w:p>
      <w:pPr>
        <w:pStyle w:val="3"/>
        <w:pageBreakBefore w:val="0"/>
        <w:numPr>
          <w:ilvl w:val="0"/>
          <w:numId w:val="1"/>
        </w:numPr>
        <w:kinsoku/>
        <w:wordWrap/>
        <w:overflowPunct/>
        <w:topLinePunct w:val="0"/>
        <w:autoSpaceDE/>
        <w:autoSpaceDN/>
        <w:bidi w:val="0"/>
        <w:adjustRightInd/>
        <w:snapToGrid/>
        <w:spacing w:before="0" w:after="0" w:line="594" w:lineRule="exact"/>
        <w:jc w:val="center"/>
        <w:textAlignment w:val="auto"/>
        <w:rPr>
          <w:rFonts w:ascii="黑体" w:hAnsi="黑体" w:cs="黑体"/>
          <w:b w:val="0"/>
          <w:bCs/>
          <w:szCs w:val="32"/>
        </w:rPr>
      </w:pPr>
      <w:r>
        <w:rPr>
          <w:rFonts w:hint="eastAsia" w:ascii="黑体" w:hAnsi="黑体" w:cs="黑体"/>
          <w:b w:val="0"/>
          <w:bCs/>
          <w:szCs w:val="32"/>
        </w:rPr>
        <w:t>期货棉基本要求</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同一批次内棉花类型、包装方式和包装材料应一致。棉花包装及包装物应符合国家有关棉花包装规定。</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棉包标识符合GB1103棉花国家标准规定，项目齐全（需经公检实验室出具检验结果的质量标识内容除外），字迹清晰。</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棉包应缝挂或粘贴条码卡，条码卡不能破损、缺失或与棉包分离（因已公检原因造成的除外，下同）。其中，棉布包装棉包上的条码卡，要用结实的棉线以∏形缝制方式固定在两侧包头的左上角；塑料包装棉包上的条码卡，要用结实的棉线或不干胶以缝制或粘贴的方式固定在两侧包头的左上角。固定时只需固定第一、二联。</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棉包条码信息真实、准确，其中企业代码应与中纤中心赋码一致。</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棉包抽样口应当采用三面刀口切割，其中未经公检的棉包刀口深度应满足抽样要求，切割后的样品应当完整保留在棉包上，棉布捆扎包装棉包的样品切割口应进行缝合处理。</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期货棉应满足《郑州商品交易所期货交割细则》和《郑州商品交易所标准仓单管理办法》</w:t>
      </w:r>
      <w:r>
        <w:rPr>
          <w:rFonts w:hint="eastAsia" w:ascii="华文仿宋" w:hAnsi="华文仿宋" w:eastAsia="华文仿宋" w:cs="华文仿宋"/>
          <w:kern w:val="0"/>
          <w:sz w:val="32"/>
          <w:szCs w:val="32"/>
        </w:rPr>
        <w:t>等</w:t>
      </w:r>
      <w:r>
        <w:rPr>
          <w:rFonts w:hint="eastAsia" w:ascii="仿宋_GB2312" w:hAnsi="仿宋_GB2312" w:eastAsia="仿宋_GB2312" w:cs="仿宋_GB2312"/>
          <w:kern w:val="0"/>
          <w:sz w:val="32"/>
          <w:szCs w:val="32"/>
        </w:rPr>
        <w:t>相关规定，其中新疆区域的期货棉，还应符合新疆深化棉花目标价格改革工作及新疆监管棉公检相关规定。</w:t>
      </w:r>
      <w:r>
        <w:rPr>
          <w:rFonts w:hint="eastAsia" w:ascii="仿宋_GB2312" w:hAnsi="仿宋_GB2312" w:eastAsia="仿宋_GB2312" w:cs="仿宋_GB2312"/>
          <w:kern w:val="0"/>
          <w:sz w:val="32"/>
          <w:szCs w:val="32"/>
        </w:rPr>
        <w:br w:type="textWrapping"/>
      </w:r>
    </w:p>
    <w:p>
      <w:pPr>
        <w:pStyle w:val="3"/>
        <w:pageBreakBefore w:val="0"/>
        <w:numPr>
          <w:ilvl w:val="0"/>
          <w:numId w:val="1"/>
        </w:numPr>
        <w:kinsoku/>
        <w:wordWrap/>
        <w:overflowPunct/>
        <w:topLinePunct w:val="0"/>
        <w:autoSpaceDE/>
        <w:autoSpaceDN/>
        <w:bidi w:val="0"/>
        <w:adjustRightInd/>
        <w:snapToGrid/>
        <w:spacing w:before="0" w:after="0" w:line="594" w:lineRule="exact"/>
        <w:jc w:val="center"/>
        <w:textAlignment w:val="auto"/>
        <w:rPr>
          <w:rFonts w:ascii="黑体" w:hAnsi="黑体" w:cs="黑体"/>
          <w:b w:val="0"/>
          <w:bCs/>
          <w:szCs w:val="32"/>
        </w:rPr>
      </w:pPr>
      <w:r>
        <w:rPr>
          <w:rFonts w:hint="eastAsia" w:ascii="黑体" w:hAnsi="黑体" w:cs="黑体"/>
          <w:b w:val="0"/>
          <w:bCs/>
          <w:szCs w:val="32"/>
        </w:rPr>
        <w:t>报验</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中纤中心负责受理期货棉公检的报验申请。</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期货棉存入指定交割仓库，采取预约方式，入库报验以批为单位，并执行郑商所有关规定。</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新疆交割仓库期货棉报验按以下规定执行：</w:t>
      </w:r>
    </w:p>
    <w:p>
      <w:pPr>
        <w:pStyle w:val="13"/>
        <w:pageBreakBefore w:val="0"/>
        <w:widowControl/>
        <w:numPr>
          <w:ilvl w:val="0"/>
          <w:numId w:val="3"/>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按照郑商所要求，进入新疆交割仓库的棉花按照有关规定完成入库公检，公检证书生效后，在公检证书有效期且在本棉花年度内，货权人可向仓库以批为单位提交预报申请。</w:t>
      </w:r>
    </w:p>
    <w:p>
      <w:pPr>
        <w:pStyle w:val="13"/>
        <w:pageBreakBefore w:val="0"/>
        <w:widowControl/>
        <w:numPr>
          <w:ilvl w:val="0"/>
          <w:numId w:val="3"/>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交割仓库核实预报信息后向郑商所提交报验申请。</w:t>
      </w:r>
    </w:p>
    <w:p>
      <w:pPr>
        <w:pStyle w:val="13"/>
        <w:pageBreakBefore w:val="0"/>
        <w:widowControl/>
        <w:kinsoku/>
        <w:wordWrap/>
        <w:overflowPunct/>
        <w:topLinePunct w:val="0"/>
        <w:autoSpaceDE/>
        <w:autoSpaceDN/>
        <w:bidi w:val="0"/>
        <w:adjustRightInd/>
        <w:snapToGrid/>
        <w:spacing w:line="594" w:lineRule="exact"/>
        <w:ind w:firstLine="0" w:firstLineChars="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新疆交割仓库不接受新疆其他监管仓库的移库报验，不接受本仓库内二次组批报验。</w:t>
      </w:r>
    </w:p>
    <w:p>
      <w:pPr>
        <w:pStyle w:val="13"/>
        <w:pageBreakBefore w:val="0"/>
        <w:widowControl/>
        <w:numPr>
          <w:ilvl w:val="0"/>
          <w:numId w:val="3"/>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郑商所对进入交割仓库注册标准仓单的期货棉报验申请进行审核后向中纤中心报验。</w:t>
      </w:r>
    </w:p>
    <w:p>
      <w:pPr>
        <w:pStyle w:val="13"/>
        <w:pageBreakBefore w:val="0"/>
        <w:widowControl/>
        <w:numPr>
          <w:ilvl w:val="0"/>
          <w:numId w:val="3"/>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中纤中心收到报验申请后2个工作日内通知承检机构。</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内地交割仓库期货棉报验按以下规定执行：</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期货棉入内地交割仓库时，由相应仓库确定棉花入库日期后向郑商所提交报验申请。</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新疆生产的棉花，按新疆有关规定完成入库公检进入监管仓库的棉花，未申请更换期货棉公检证书的，可移库至内地交割仓库申报期货棉公检。</w:t>
      </w:r>
    </w:p>
    <w:p>
      <w:pPr>
        <w:pStyle w:val="13"/>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非新疆生产的棉花，确定用于直接进入内地交割仓库进行期货交割的，可以不在加工环节进行产地棉公检，但加工企业需据实向产地承检机构，提交包含棉花交割数量以及交割仓库等信息的书面申请，获取产地承检机构核实后出具的书面证明，作为申请期货棉入交割仓库公检的依据。</w:t>
      </w:r>
    </w:p>
    <w:p>
      <w:pPr>
        <w:pStyle w:val="13"/>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郑商所对进入内地交割仓库注册标准仓单的期货棉报验申请进行审核后向中纤中心报验。</w:t>
      </w:r>
    </w:p>
    <w:p>
      <w:pPr>
        <w:pStyle w:val="13"/>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中纤中心收到报验申请后2个工作日内确定承检机构，并在郑商所信息管理系统中将承检机构及联系方式反馈交割仓</w:t>
      </w:r>
      <w:r>
        <w:rPr>
          <w:rFonts w:hint="eastAsia" w:ascii="仿宋_GB2312" w:hAnsi="仿宋_GB2312" w:eastAsia="仿宋_GB2312" w:cs="仿宋_GB2312"/>
          <w:kern w:val="0"/>
          <w:sz w:val="32"/>
          <w:szCs w:val="32"/>
          <w:lang w:val="en-US" w:eastAsia="zh-CN"/>
        </w:rPr>
        <w:t>库</w:t>
      </w:r>
      <w:r>
        <w:rPr>
          <w:rFonts w:hint="eastAsia" w:ascii="仿宋_GB2312" w:hAnsi="仿宋_GB2312" w:eastAsia="仿宋_GB2312" w:cs="仿宋_GB2312"/>
          <w:kern w:val="0"/>
          <w:sz w:val="32"/>
          <w:szCs w:val="32"/>
        </w:rPr>
        <w:t>。</w:t>
      </w:r>
    </w:p>
    <w:p>
      <w:pPr>
        <w:pStyle w:val="13"/>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对于非新疆生产的棉花，进入内地交割仓库进行监管棉公检的批次，在公检证书有效期且在本棉花年度内，货权人可向仓库以批为单位提交预报申请。</w:t>
      </w:r>
    </w:p>
    <w:p>
      <w:pPr>
        <w:pStyle w:val="13"/>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期</w:t>
      </w:r>
      <w:r>
        <w:rPr>
          <w:rFonts w:hint="eastAsia" w:ascii="仿宋_GB2312" w:hAnsi="仿宋_GB2312" w:eastAsia="仿宋_GB2312" w:cs="仿宋_GB2312"/>
          <w:kern w:val="0"/>
          <w:sz w:val="32"/>
          <w:szCs w:val="32"/>
        </w:rPr>
        <w:t>货棉在规定时间不能到库的，货权人可以通过交割仓库向郑商所申请撤销或变更报验，郑商所应当及时通知中纤中心；期货棉到库后，货权人不能撤销或变更报验。</w:t>
      </w:r>
    </w:p>
    <w:p>
      <w:pPr>
        <w:pStyle w:val="13"/>
        <w:pageBreakBefore w:val="0"/>
        <w:widowControl/>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内地交割仓库不接受内地其他监管仓库的移库报验。</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仓单注销时，货权人对公检证书有效期超期棉花提出重新检验的，应当向郑商所递交重新公检申请。</w:t>
      </w:r>
      <w:r>
        <w:rPr>
          <w:rFonts w:hint="eastAsia" w:ascii="仿宋_GB2312" w:hAnsi="仿宋_GB2312" w:eastAsia="仿宋_GB2312" w:cs="仿宋_GB2312"/>
          <w:kern w:val="0"/>
          <w:sz w:val="32"/>
          <w:szCs w:val="32"/>
        </w:rPr>
        <w:br w:type="textWrapping"/>
      </w:r>
    </w:p>
    <w:p>
      <w:pPr>
        <w:pStyle w:val="3"/>
        <w:pageBreakBefore w:val="0"/>
        <w:numPr>
          <w:ilvl w:val="0"/>
          <w:numId w:val="1"/>
        </w:numPr>
        <w:kinsoku/>
        <w:wordWrap/>
        <w:overflowPunct/>
        <w:topLinePunct w:val="0"/>
        <w:autoSpaceDE/>
        <w:autoSpaceDN/>
        <w:bidi w:val="0"/>
        <w:adjustRightInd/>
        <w:snapToGrid/>
        <w:spacing w:before="0" w:after="0" w:line="594" w:lineRule="exact"/>
        <w:jc w:val="center"/>
        <w:textAlignment w:val="auto"/>
        <w:rPr>
          <w:rFonts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cs="黑体"/>
          <w:b w:val="0"/>
          <w:bCs/>
          <w:szCs w:val="32"/>
        </w:rPr>
        <w:t>入库验收</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期货棉入交割仓库应进行验收，验收方式包括初验和核查，其中交割仓库负责初验、在库机构负责核查。</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入库验收可在棉花入库后、公检前进行，也可以边入库、边验收、边检验。</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入库验收时，应检查期货棉是否存在以下情形：</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（一）棉花实物信息与报验信息不一致的（件数不一致、但符合郑商所规定的件数范围的除外）；</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（二）棉花批次已在交割仓库进行公检并出具期货棉公检证书的；</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（三）入内地交割仓库的棉花货证不同行或没有证书、产地承检机构证明的；</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（四）棉包包型、标志、包装材料和组批不符合规定的；</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（五）棉包条码卡缺失、破损或与棉包分离的；</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（六）棉包上用于抽样的切割刀口不符合规定的；</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（七）棉包出现严重污染、水渍，发现火烧、霉变等现象，或者有异味及包装不完整的；</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（八）崩包（炸包）率大于5%的；</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（九）其它不符合交割规定的。</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棉包标志与报验信息不一致，经确认可变更的，交割仓库应当向郑商所提交变更申请，已经开始检验的，检验可以继续进行，中纤中心接到郑商所变更通知后向承检机构下达变更通知书，否则整批期货棉停止或不再检验。</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棉批中含有已经过期货棉公检的棉包，交割仓库应通知货权人剔除或更换，否则整批期货棉停止或不再检验。</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因少量不符合要求棉包（单批总数不得超过20包）被剔除造成该批棉包数量小于郑商所要求的，货权人可以补包或更换，所补或所更换棉包需符合国家标准规定的组批规则</w:t>
      </w:r>
      <w:r>
        <w:rPr>
          <w:rFonts w:hint="eastAsia" w:ascii="华文仿宋" w:hAnsi="华文仿宋" w:eastAsia="华文仿宋" w:cs="华文仿宋"/>
          <w:kern w:val="0"/>
          <w:sz w:val="32"/>
          <w:szCs w:val="32"/>
        </w:rPr>
        <w:t>，</w:t>
      </w:r>
      <w:r>
        <w:rPr>
          <w:rFonts w:hint="eastAsia" w:ascii="仿宋_GB2312" w:hAnsi="仿宋_GB2312" w:eastAsia="仿宋_GB2312" w:cs="仿宋_GB2312"/>
          <w:kern w:val="0"/>
          <w:sz w:val="32"/>
          <w:szCs w:val="32"/>
        </w:rPr>
        <w:t>并取得棉花生产者的组批授权。</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入库验收发现存在第十七条第（一）项至第（九）项情形的，交割仓库应当要求货权人进行改正，不具备改正条件的或货权人拒不改正的，交割仓库应当及时通知在库机构，整批期货棉不能检验，已在检验的，停止检验。</w:t>
      </w:r>
      <w:r>
        <w:rPr>
          <w:rFonts w:hint="eastAsia" w:ascii="仿宋_GB2312" w:hAnsi="仿宋_GB2312" w:eastAsia="仿宋_GB2312" w:cs="仿宋_GB2312"/>
          <w:kern w:val="0"/>
          <w:sz w:val="32"/>
          <w:szCs w:val="32"/>
        </w:rPr>
        <w:br w:type="textWrapping"/>
      </w:r>
    </w:p>
    <w:p>
      <w:pPr>
        <w:pStyle w:val="3"/>
        <w:pageBreakBefore w:val="0"/>
        <w:numPr>
          <w:ilvl w:val="0"/>
          <w:numId w:val="1"/>
        </w:numPr>
        <w:kinsoku/>
        <w:wordWrap/>
        <w:overflowPunct/>
        <w:topLinePunct w:val="0"/>
        <w:autoSpaceDE/>
        <w:autoSpaceDN/>
        <w:bidi w:val="0"/>
        <w:adjustRightInd/>
        <w:snapToGrid/>
        <w:spacing w:before="0" w:after="0" w:line="594" w:lineRule="exact"/>
        <w:jc w:val="center"/>
        <w:textAlignment w:val="auto"/>
        <w:rPr>
          <w:rFonts w:ascii="仿宋_GB2312" w:hAnsi="仿宋_GB2312" w:eastAsia="仿宋_GB2312" w:cs="仿宋_GB2312"/>
          <w:szCs w:val="32"/>
        </w:rPr>
      </w:pPr>
      <w:r>
        <w:rPr>
          <w:rFonts w:hint="eastAsia" w:ascii="黑体" w:hAnsi="黑体" w:cs="黑体"/>
          <w:b w:val="0"/>
          <w:bCs/>
          <w:szCs w:val="32"/>
        </w:rPr>
        <w:t>现场检验</w:t>
      </w:r>
    </w:p>
    <w:p>
      <w:pPr>
        <w:pStyle w:val="13"/>
        <w:keepNext w:val="0"/>
        <w:keepLines w:val="0"/>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在库机构接受期货棉公检任务后，应及时回复中纤中心，并应在1个工作日内与交割仓库进行业务衔接，确定是否可以入库检验，内容包括：</w:t>
      </w:r>
    </w:p>
    <w:p>
      <w:pPr>
        <w:pStyle w:val="13"/>
        <w:keepNext w:val="0"/>
        <w:keepLines w:val="0"/>
        <w:pageBreakBefore w:val="0"/>
        <w:widowControl/>
        <w:numPr>
          <w:ilvl w:val="0"/>
          <w:numId w:val="4"/>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棉花到库时间；</w:t>
      </w:r>
    </w:p>
    <w:p>
      <w:pPr>
        <w:pStyle w:val="13"/>
        <w:keepNext w:val="0"/>
        <w:keepLines w:val="0"/>
        <w:pageBreakBefore w:val="0"/>
        <w:widowControl/>
        <w:numPr>
          <w:ilvl w:val="0"/>
          <w:numId w:val="4"/>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仓库现场检验运作场地满足配合公检要求；</w:t>
      </w:r>
    </w:p>
    <w:p>
      <w:pPr>
        <w:pStyle w:val="13"/>
        <w:keepNext w:val="0"/>
        <w:keepLines w:val="0"/>
        <w:pageBreakBefore w:val="0"/>
        <w:widowControl/>
        <w:numPr>
          <w:ilvl w:val="0"/>
          <w:numId w:val="4"/>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仓库重量衡器合格；</w:t>
      </w:r>
    </w:p>
    <w:p>
      <w:pPr>
        <w:pStyle w:val="13"/>
        <w:keepNext w:val="0"/>
        <w:keepLines w:val="0"/>
        <w:pageBreakBefore w:val="0"/>
        <w:widowControl/>
        <w:numPr>
          <w:ilvl w:val="0"/>
          <w:numId w:val="4"/>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仓库安排好合理的搬倒人员及设备；</w:t>
      </w:r>
    </w:p>
    <w:p>
      <w:pPr>
        <w:pStyle w:val="13"/>
        <w:keepNext w:val="0"/>
        <w:keepLines w:val="0"/>
        <w:pageBreakBefore w:val="0"/>
        <w:widowControl/>
        <w:numPr>
          <w:ilvl w:val="0"/>
          <w:numId w:val="4"/>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仓库提供检验人员进入仓库和携带棉样出库的便利；</w:t>
      </w:r>
    </w:p>
    <w:p>
      <w:pPr>
        <w:pStyle w:val="13"/>
        <w:keepNext w:val="0"/>
        <w:keepLines w:val="0"/>
        <w:pageBreakBefore w:val="0"/>
        <w:widowControl/>
        <w:numPr>
          <w:ilvl w:val="0"/>
          <w:numId w:val="4"/>
        </w:numPr>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无其它影响公检开展的因素。</w:t>
      </w:r>
    </w:p>
    <w:p>
      <w:pPr>
        <w:pStyle w:val="13"/>
        <w:keepNext w:val="0"/>
        <w:keepLines w:val="0"/>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在库机构应在仓库具备现场公检条件后及时到库开展现场检验工作。</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现场检验工作包括查阅复印期货棉报验材料、清点件数、采集并核对棉包条码信息、质量查验、衡重、回皮、抽样、含杂率检验、回潮率检验、填写现场检验文书等。</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检验各项工作由在库机构人员独立完成。货权人、仓库可派代表到场，并在《期货交割棉公证检验现场/复核检验结果汇总表》（附件1）对现场检验结果进行签字确认，未按在库机构通知到场的，视为认可现场检验流程。</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货权人和仓库代表不能干扰和影响检验工作。</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待检期货棉应码放平稳，留足检验空间，一个码放单元应不多于3层6包，各单元之间按照排与列放置，同一批棉花应码放在同一个工作面上。</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在库机构对期货棉进行公检时，应当逐包采集棉包条码信息并使用全国棉花质量信息管理平台（以下简称“信息平台”）进行核查。</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抽样时，应在交割仓库的配合下，对每批棉花随机抽查10包，记录抽查包号，打开两端包头，查验包内棉花分层是否均匀，与切割刀口棉花是否一致，必要时，打开棉包，查验包内棉花是否存在涉嫌以次充好、掺杂使假等质量违法情况。</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在库机构进行重量检验前应当检查、确认重量衡器、天平、台秤等计量器具已经计量检定合格、在计量检定周期内，且精度和状态符合检验要求。</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在库机构发现衡器称重异常时，应立即停止检验，督促交割仓库重新检定或校验，确保衡器合格。</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在库机构必须对所有棉包进行称重。毛重检验称重方式可以是逐包称重、多包称重或整车称重。</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采用逐包称重和多包称重的，称量时应尽量接近衡器最大量值，称量读数须与衡器精度一致。使用电子秤的必须由在库机构在场监磅，其他需要执磅的重量衡器必须由在库机构检验人员执磅。不得在棉垛上称重。</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采用整车称重的，在库机构必须在场监磅，并将电脑打印的称重单粘贴在该批期货棉重量检验文书上。</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凡过磅前抽样的，须将所扦棉样重量计入该批毛重总数。</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同一批次棉花称重应当在同日内完成。如同一批次棉花，不同时入库导致无法如期完成的，应在整批棉花到库后再行称重。</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棉花入库时，货权人应随货提供一套与期货棉花包装材料相同的包装物用于测试皮重；没有提供的，在库机构可打开1个棉包进行皮重测试，由此造成该棉包不符合交割条件的，由货权人负责。</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货棉应当在棉包切割刀口处抽取品质检验样品（以下简称“品质样品”），抽样深度、样品尺寸和质量应当符合国家标准要求。无法在棉包切割刀口处抽样的，可以采用开包方式抽样，开包应从抽样切割刀口就近位置进行，原则上剪开捆扎带数量不得超过1根。</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品质样品应当符合棉花国家标准和HVI检验要求，禁止多次少量抽样形成一个品质样品。</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抽样人员抽取品质样品，对未经公检批次应逐包抽取，对已经公检批次应随机选取不少于该批棉花实际包数50%的棉包抽取。</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应将抽取的每包品质样品与对应条码卡一同装入样品包装小袋，并将对装有品质样品和条码卡的包装小袋逐一清点无误后，按批集中装入品质样品袋。每个品质样品袋内的样品必须属于同一个批次，不得混入其它批次样品。</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样品包装小袋由在库机构提供，要求为质量较好、透明度高的塑料小包装袋。</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品质样品袋由公检实验室提供，必须为棉布材料，并印有“棉花质量公证检验专用样品袋”和编号。</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品质样品袋中需放入已填写加工企业名称、批号、公检实验室名称、样品数量和包装袋编号等信息的《期货交割棉花质量公证检验样品卡》（附件2，以下简称“样品卡”）。 </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抽样完成后，在库机构样品交接人员应填写《棉花质量公证检验样品交接单》（附件3，以下简称“交接单”）。交接单内容必须与实际情况相符，一式二份，其中一份由在库机构留存，一份由公检实验室留存。</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在库机构现场检验中发现异性纤维、杂物等，应在交接单内注明。</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在库机构应将未交接的品质样品，按批次集中存放于全程受在库机构控制的样品交接周转库房。 </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含杂率样品抽取和检验，依照《棉花公证检验含杂率检验技术规范》执行。</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在库机构实验室或公检实验室进行含杂率检验，</w:t>
      </w:r>
      <w:r>
        <w:rPr>
          <w:rFonts w:hint="eastAsia" w:ascii="仿宋_GB2312" w:hAnsi="仿宋_GB2312" w:eastAsia="仿宋_GB2312" w:cs="仿宋_GB2312"/>
          <w:kern w:val="0"/>
          <w:sz w:val="32"/>
          <w:szCs w:val="32"/>
        </w:rPr>
        <w:t>检验余样保存应不少于30天。</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回潮率检验执行现行有效的国家标准和技术规范。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回潮率测试仪器应经检定合格，并在检定周期内。回潮率测试棉包应在整批范围内随机选取。</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同批次棉花回潮率检验与称重应当同步完成。</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遇天气状况可能影响检验结果的，应暂停检验。承检机构对货权人签字认可要求继续检验的，开展检验工作时应在《期货交割棉公证检验现场/复核检验结果汇总表》备注栏注明天气情况。</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承检机构对于塑料套包的棉花单包回潮率超过9.0%或按批计算平均回潮率超过8.5%的，棉布包装的棉花单包回潮率超过10.0%的，应在公检证书的相应栏目，标注该批棉花的平均回潮率和单包最高回潮率。</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在库机构应自相应批次开始检验3日内，将棉花公定重量及相关数据，报送承担相应批次品质检验的公检实验室。超出时限的，在库机构应将超期批次及原因报送中纤中心。</w:t>
      </w:r>
      <w:r>
        <w:rPr>
          <w:rFonts w:hint="eastAsia" w:ascii="仿宋_GB2312" w:hAnsi="仿宋_GB2312" w:eastAsia="仿宋_GB2312" w:cs="仿宋_GB2312"/>
          <w:kern w:val="0"/>
          <w:sz w:val="32"/>
          <w:szCs w:val="32"/>
        </w:rPr>
        <w:br w:type="textWrapping"/>
      </w:r>
    </w:p>
    <w:p>
      <w:pPr>
        <w:pStyle w:val="3"/>
        <w:pageBreakBefore w:val="0"/>
        <w:numPr>
          <w:ilvl w:val="0"/>
          <w:numId w:val="1"/>
        </w:numPr>
        <w:kinsoku/>
        <w:wordWrap/>
        <w:overflowPunct/>
        <w:topLinePunct w:val="0"/>
        <w:autoSpaceDE/>
        <w:autoSpaceDN/>
        <w:bidi w:val="0"/>
        <w:adjustRightInd/>
        <w:snapToGrid/>
        <w:spacing w:before="0" w:after="0" w:line="594" w:lineRule="exact"/>
        <w:jc w:val="center"/>
        <w:textAlignment w:val="auto"/>
        <w:rPr>
          <w:rFonts w:ascii="黑体" w:hAnsi="黑体" w:cs="黑体"/>
          <w:b w:val="0"/>
          <w:bCs/>
          <w:szCs w:val="32"/>
        </w:rPr>
      </w:pPr>
      <w:r>
        <w:rPr>
          <w:rFonts w:hint="eastAsia" w:ascii="黑体" w:hAnsi="黑体" w:cs="黑体"/>
          <w:b w:val="0"/>
          <w:bCs/>
          <w:szCs w:val="32"/>
        </w:rPr>
        <w:t>样品交接与实验室品质检验</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原则上，样品交接由公检实验室和在库机构在交割仓库完成，在库机构和公检实验室为同一承检机构时，样品交接也可在公检实验室完成。</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采用快递、物流等方式交接的，公检实验室应和在库机构明确交接责任，确保样品运输安全和时效。</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样品交接应在样品抽取结束2日内完成。</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检实验室样品管理人员应核对交接单和样品卡填写是否规范、真实、准确，同时对照交接单内容进行核查，发现含有不符合要求样品的批次，整批样品不得交接，由在库机构整改至符合要求后再行交接，确认无误的，在交接单上签字并记录样品交接时间。</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同一加工批的样品应一次完成交接。</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公检实验室负责样品交接后运输，在运输样品过程中应当保证样品外观形态不受破坏，防止样品雨淋、污染和丢失等。</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承检机构对在抽样、运输、样品交接、检验等过程有可能接触棉样的相关人员，应采取必要防护措施，防止混入异性纤维。</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公检实验室品质检验执行《棉花质量公证检验实验室检验工作规程》的规定。</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新疆交割仓库的报验申请，承检机构收到中纤中心任务通知后，使用信息平台依据监管棉公检结果重新出具期货棉公检证书，证书出具日期与同批监管棉证书出具日期相同。技术负责人应对检验数据进行审核，审核无误的，由信息系统管理员上传期货棉检验数据。承检机构应在收到中纤中心任务通知后 3 日内完成数据上传。</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对于内地交割仓库的报验申请，承检机构完成整批检验后，技术负责人应对检验数据进行审核。审核无误的，由信息系统管理员上传检验数据。承检机构应在样品交接完成5日内完成数据上传。</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ascii="Times New Roman" w:hAnsi="Times New Roman" w:eastAsia="仿宋_GB2312" w:cs="仿宋_GB2312"/>
          <w:sz w:val="32"/>
          <w:szCs w:val="32"/>
        </w:rPr>
        <w:t>对于非新疆生产的棉花，进入内地交割仓库进行监管棉公检的批次，承检机构收到中纤中心任务通知后，使用信息平台依据监管棉公检结果重新出具期货棉公检证书，证书出具日期与同批监管棉证书出具日期相同。技术负责人应对检验数据进行审核，审核无误的，由信息系统管理员上传期货棉检验数据。承检机构应在收到中纤中心任务通知后3日内完成数据上传。</w:t>
      </w:r>
      <w:r>
        <w:rPr>
          <w:rFonts w:hint="eastAsia" w:ascii="仿宋_GB2312" w:hAnsi="仿宋_GB2312" w:eastAsia="仿宋_GB2312" w:cs="仿宋_GB2312"/>
          <w:kern w:val="0"/>
          <w:sz w:val="32"/>
          <w:szCs w:val="32"/>
        </w:rPr>
        <w:t>超出规定时限的，承检机构应将超期批次及原因报送中纤中心。</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firstLineChars="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期货棉检验数据上传后形成公检电子证书。</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货权人可通过交割仓库获取公检结果，需要纸质公检证书的，在证书有效期内可通过交割仓库向承检机构索取，交割仓库应做好公检结果交接记录。</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firstLineChars="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已上报或发布的检验数据存在错误的，相关承检机构应及时向中纤中心提交修改申请，修改申请应加盖申请单位公章，详细说明申请事由。</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firstLineChars="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公检实验室应对品质检验余样按批妥善保管，保管期限为一个月且棉花入库货权人知道或应当知道公检结果15日以上。保管期满，应及时退回相应交割仓库，并做好样品退还记录。</w:t>
      </w:r>
    </w:p>
    <w:p>
      <w:pPr>
        <w:pStyle w:val="13"/>
        <w:pageBreakBefore w:val="0"/>
        <w:widowControl/>
        <w:kinsoku/>
        <w:wordWrap/>
        <w:overflowPunct/>
        <w:topLinePunct w:val="0"/>
        <w:autoSpaceDE/>
        <w:autoSpaceDN/>
        <w:bidi w:val="0"/>
        <w:adjustRightInd/>
        <w:snapToGrid/>
        <w:spacing w:line="594" w:lineRule="exact"/>
        <w:ind w:firstLine="0" w:firstLineChars="0"/>
        <w:jc w:val="left"/>
        <w:textAlignment w:val="auto"/>
        <w:rPr>
          <w:rFonts w:ascii="仿宋_GB2312" w:hAnsi="仿宋_GB2312" w:eastAsia="仿宋_GB2312" w:cs="仿宋_GB2312"/>
          <w:kern w:val="0"/>
          <w:sz w:val="32"/>
          <w:szCs w:val="32"/>
        </w:rPr>
      </w:pPr>
    </w:p>
    <w:p>
      <w:pPr>
        <w:pStyle w:val="3"/>
        <w:pageBreakBefore w:val="0"/>
        <w:numPr>
          <w:ilvl w:val="0"/>
          <w:numId w:val="1"/>
        </w:numPr>
        <w:kinsoku/>
        <w:wordWrap/>
        <w:overflowPunct/>
        <w:topLinePunct w:val="0"/>
        <w:autoSpaceDE/>
        <w:autoSpaceDN/>
        <w:bidi w:val="0"/>
        <w:adjustRightInd/>
        <w:snapToGrid/>
        <w:spacing w:before="0" w:after="0" w:line="594" w:lineRule="exact"/>
        <w:jc w:val="center"/>
        <w:textAlignment w:val="auto"/>
        <w:rPr>
          <w:rFonts w:ascii="仿宋_GB2312" w:hAnsi="仿宋_GB2312" w:eastAsia="仿宋_GB2312" w:cs="仿宋_GB2312"/>
          <w:szCs w:val="32"/>
        </w:rPr>
      </w:pPr>
      <w:r>
        <w:rPr>
          <w:rFonts w:hint="eastAsia" w:ascii="黑体" w:hAnsi="黑体" w:cs="黑体"/>
          <w:b w:val="0"/>
          <w:bCs/>
          <w:szCs w:val="32"/>
        </w:rPr>
        <w:t>复检</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入库复检项目包括颜色级、长度、马克隆值。</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出库复检项目为颜色级。</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入库时货权人、交割仓库和出库时货权人对期货棉公检结果有异议，需申请复检的（其中入库时货权人、交割仓库应能提供相关检验结果），应当自收到检验结果或郑商所开出提货通知单之日起5日内向郑商所提交《期货交割棉复检意向书》（附件4）。</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郑商所审核确认后将《期货交割棉复检意向书》提交中纤中心。</w:t>
      </w:r>
      <w:r>
        <w:rPr>
          <w:rFonts w:hint="eastAsia" w:ascii="仿宋_GB2312" w:hAnsi="仿宋_GB2312" w:eastAsia="仿宋_GB2312" w:cs="仿宋_GB2312"/>
          <w:sz w:val="32"/>
          <w:szCs w:val="32"/>
        </w:rPr>
        <w:t>中纤中心通过郑商所反馈复检意向单位受理意见，拟受理的，</w:t>
      </w:r>
      <w:r>
        <w:rPr>
          <w:rFonts w:hint="eastAsia" w:ascii="仿宋_GB2312" w:hAnsi="仿宋_GB2312" w:eastAsia="仿宋_GB2312" w:cs="仿宋_GB2312"/>
          <w:kern w:val="0"/>
          <w:sz w:val="32"/>
          <w:szCs w:val="32"/>
        </w:rPr>
        <w:t>复检意向单位应在收到郑商所反馈后，5日内向中纤中心申请复</w:t>
      </w:r>
      <w:r>
        <w:rPr>
          <w:rFonts w:hint="eastAsia" w:ascii="仿宋_GB2312" w:hAnsi="仿宋_GB2312" w:eastAsia="仿宋_GB2312" w:cs="仿宋_GB2312"/>
          <w:sz w:val="32"/>
          <w:szCs w:val="32"/>
        </w:rPr>
        <w:t>检，</w:t>
      </w:r>
      <w:r>
        <w:rPr>
          <w:rFonts w:hint="eastAsia" w:ascii="仿宋_GB2312" w:hAnsi="仿宋_GB2312" w:eastAsia="仿宋_GB2312" w:cs="仿宋_GB2312"/>
          <w:kern w:val="0"/>
          <w:sz w:val="32"/>
          <w:szCs w:val="32"/>
        </w:rPr>
        <w:t>并提交《棉花复检申请单》，</w:t>
      </w:r>
      <w:r>
        <w:rPr>
          <w:rFonts w:hint="eastAsia" w:ascii="仿宋_GB2312" w:hAnsi="仿宋_GB2312" w:eastAsia="仿宋_GB2312" w:cs="仿宋_GB2312"/>
          <w:sz w:val="32"/>
          <w:szCs w:val="32"/>
        </w:rPr>
        <w:t>逾期不予受理。</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firstLineChars="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复检受理后，复检申请方应通过郑商所预缴复检费用。</w:t>
      </w:r>
      <w:r>
        <w:rPr>
          <w:rFonts w:hint="eastAsia" w:ascii="仿宋_GB2312" w:hAnsi="仿宋_GB2312" w:eastAsia="仿宋_GB2312" w:cs="仿宋_GB2312"/>
          <w:kern w:val="0"/>
          <w:sz w:val="32"/>
          <w:szCs w:val="32"/>
        </w:rPr>
        <w:t>复检费用参照财政部、市场监管总局相关公检经费标准执行。</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复检申请方承担配合复检所发生的搬倒及复包等费用。</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入库复检只对留样进行，不再重新抽样。</w:t>
      </w: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出库复检由复检机构在交割仓库协助下重新抽样，抽样棉包数量应不低于公检时抽样棉包数量。</w:t>
      </w:r>
    </w:p>
    <w:p>
      <w:pPr>
        <w:pageBreakBefore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出库复检时货权人可在现场监督复检过程，未派代表到达复检现场的，视同认可复检程序。</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复检结果与原公检结果相比，颜色级逐样相符率80.0%及以上、平均长度值之差不超过0.5mm、主体马克隆值级一致，则判定复检结果与原公检结果相符，否则判定为不相符。</w:t>
      </w:r>
      <w:r>
        <w:rPr>
          <w:rFonts w:hint="eastAsia" w:ascii="仿宋_GB2312" w:hAnsi="仿宋_GB2312" w:eastAsia="仿宋_GB2312" w:cs="仿宋_GB2312"/>
          <w:kern w:val="0"/>
          <w:sz w:val="32"/>
          <w:szCs w:val="32"/>
        </w:rPr>
        <w:br w:type="textWrapping"/>
      </w:r>
    </w:p>
    <w:p>
      <w:pPr>
        <w:pStyle w:val="3"/>
        <w:pageBreakBefore w:val="0"/>
        <w:numPr>
          <w:ilvl w:val="0"/>
          <w:numId w:val="1"/>
        </w:numPr>
        <w:kinsoku/>
        <w:wordWrap/>
        <w:overflowPunct/>
        <w:topLinePunct w:val="0"/>
        <w:autoSpaceDE/>
        <w:autoSpaceDN/>
        <w:bidi w:val="0"/>
        <w:adjustRightInd/>
        <w:snapToGrid/>
        <w:spacing w:before="0" w:after="0" w:line="594" w:lineRule="exact"/>
        <w:jc w:val="center"/>
        <w:textAlignment w:val="auto"/>
        <w:rPr>
          <w:rFonts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cs="黑体"/>
          <w:b w:val="0"/>
          <w:bCs/>
          <w:szCs w:val="32"/>
        </w:rPr>
        <w:t>附  则</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本规程所称棉花年度，是指每年9月1日至次年8月31日。</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本规程由中纤中心负责解释。</w:t>
      </w:r>
    </w:p>
    <w:p>
      <w:pPr>
        <w:pStyle w:val="13"/>
        <w:pageBreakBefore w:val="0"/>
        <w:widowControl/>
        <w:numPr>
          <w:ilvl w:val="0"/>
          <w:numId w:val="2"/>
        </w:numPr>
        <w:kinsoku/>
        <w:wordWrap/>
        <w:overflowPunct/>
        <w:topLinePunct w:val="0"/>
        <w:autoSpaceDE/>
        <w:autoSpaceDN/>
        <w:bidi w:val="0"/>
        <w:adjustRightInd/>
        <w:snapToGrid/>
        <w:spacing w:line="594" w:lineRule="exact"/>
        <w:ind w:left="0"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本规程自2024年9月1日起施行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原中国纤维质量监测中心《期货交割棉质量公证检验工作规程》（中纤发</w:t>
      </w:r>
      <w:r>
        <w:rPr>
          <w:rFonts w:hint="eastAsia" w:ascii="仿宋" w:hAnsi="仿宋" w:eastAsia="仿宋" w:cs="仿宋"/>
          <w:kern w:val="0"/>
          <w:sz w:val="32"/>
          <w:szCs w:val="32"/>
          <w:lang w:val="en-US" w:eastAsia="zh-CN"/>
        </w:rPr>
        <w:t>〔</w:t>
      </w:r>
      <w:r>
        <w:rPr>
          <w:rFonts w:hint="eastAsia" w:ascii="仿宋_GB2312" w:hAnsi="仿宋_GB2312" w:eastAsia="仿宋_GB2312" w:cs="仿宋_GB2312"/>
          <w:kern w:val="0"/>
          <w:sz w:val="32"/>
          <w:szCs w:val="32"/>
          <w:lang w:val="en-US" w:eastAsia="zh-CN"/>
        </w:rPr>
        <w:t>2022</w:t>
      </w:r>
      <w:r>
        <w:rPr>
          <w:rFonts w:hint="eastAsia" w:ascii="仿宋" w:hAnsi="仿宋" w:eastAsia="仿宋" w:cs="仿宋"/>
          <w:kern w:val="0"/>
          <w:sz w:val="32"/>
          <w:szCs w:val="32"/>
          <w:lang w:val="en-US" w:eastAsia="zh-CN"/>
        </w:rPr>
        <w:t>〕</w:t>
      </w:r>
      <w:r>
        <w:rPr>
          <w:rFonts w:hint="eastAsia" w:ascii="仿宋_GB2312" w:hAnsi="仿宋_GB2312" w:eastAsia="仿宋_GB2312" w:cs="仿宋_GB2312"/>
          <w:kern w:val="0"/>
          <w:sz w:val="32"/>
          <w:szCs w:val="32"/>
          <w:lang w:val="en-US" w:eastAsia="zh-CN"/>
        </w:rPr>
        <w:t>43号）同时废止</w:t>
      </w:r>
      <w:r>
        <w:rPr>
          <w:rFonts w:hint="eastAsia" w:ascii="仿宋_GB2312" w:hAnsi="仿宋_GB2312" w:eastAsia="仿宋_GB2312" w:cs="仿宋_GB2312"/>
          <w:kern w:val="0"/>
          <w:sz w:val="32"/>
          <w:szCs w:val="32"/>
        </w:rPr>
        <w:t>。</w:t>
      </w:r>
    </w:p>
    <w:p>
      <w:pPr>
        <w:pStyle w:val="13"/>
        <w:pageBreakBefore w:val="0"/>
        <w:widowControl/>
        <w:numPr>
          <w:ilvl w:val="0"/>
          <w:numId w:val="0"/>
        </w:numPr>
        <w:kinsoku/>
        <w:wordWrap/>
        <w:overflowPunct/>
        <w:topLinePunct w:val="0"/>
        <w:autoSpaceDE/>
        <w:autoSpaceDN/>
        <w:bidi w:val="0"/>
        <w:adjustRightInd/>
        <w:snapToGrid/>
        <w:spacing w:line="594" w:lineRule="exact"/>
        <w:ind w:leftChars="200"/>
        <w:jc w:val="left"/>
        <w:textAlignment w:val="auto"/>
        <w:rPr>
          <w:rFonts w:ascii="仿宋_GB2312" w:hAnsi="仿宋_GB2312" w:eastAsia="仿宋_GB2312" w:cs="仿宋_GB2312"/>
          <w:kern w:val="0"/>
          <w:sz w:val="32"/>
          <w:szCs w:val="32"/>
        </w:rPr>
      </w:pPr>
    </w:p>
    <w:p>
      <w:pPr>
        <w:pStyle w:val="13"/>
        <w:pageBreakBefore w:val="0"/>
        <w:widowControl/>
        <w:kinsoku/>
        <w:wordWrap/>
        <w:overflowPunct/>
        <w:topLinePunct w:val="0"/>
        <w:autoSpaceDE/>
        <w:autoSpaceDN/>
        <w:bidi w:val="0"/>
        <w:adjustRightInd/>
        <w:snapToGrid/>
        <w:spacing w:line="594" w:lineRule="exact"/>
        <w:ind w:firstLine="64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期货交割棉公证检验/复核现场结果汇总表</w:t>
      </w:r>
    </w:p>
    <w:p>
      <w:pPr>
        <w:pStyle w:val="13"/>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期货交割棉花质量公证检验样品卡</w:t>
      </w:r>
    </w:p>
    <w:p>
      <w:pPr>
        <w:pStyle w:val="13"/>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棉花质量公证检验样品交接单</w:t>
      </w:r>
    </w:p>
    <w:p>
      <w:pPr>
        <w:pStyle w:val="13"/>
        <w:pageBreakBefore w:val="0"/>
        <w:widowControl/>
        <w:kinsoku/>
        <w:wordWrap/>
        <w:overflowPunct/>
        <w:topLinePunct w:val="0"/>
        <w:autoSpaceDE/>
        <w:autoSpaceDN/>
        <w:bidi w:val="0"/>
        <w:adjustRightInd/>
        <w:snapToGrid/>
        <w:spacing w:line="594" w:lineRule="exact"/>
        <w:ind w:firstLine="1600" w:firstLineChars="500"/>
        <w:jc w:val="left"/>
        <w:textAlignment w:val="auto"/>
        <w:rPr>
          <w:rFonts w:ascii="仿宋_GB2312" w:hAnsi="仿宋_GB2312" w:eastAsia="仿宋_GB2312" w:cs="仿宋_GB2312"/>
          <w:sz w:val="32"/>
          <w:szCs w:val="32"/>
        </w:rPr>
        <w:sectPr>
          <w:footerReference r:id="rId5" w:type="default"/>
          <w:pgSz w:w="11907" w:h="16840"/>
          <w:pgMar w:top="2041" w:right="1587" w:bottom="1587" w:left="1474" w:header="851" w:footer="1134" w:gutter="0"/>
          <w:cols w:space="425" w:num="1"/>
          <w:docGrid w:linePitch="287" w:charSpace="-1839"/>
        </w:sect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期货交割棉复检意向书      </w:t>
      </w:r>
    </w:p>
    <w:p>
      <w:pPr>
        <w:spacing w:line="594" w:lineRule="exact"/>
        <w:rPr>
          <w:rFonts w:ascii="黑体" w:hAnsi="黑体" w:eastAsia="黑体" w:cs="黑体"/>
          <w:sz w:val="32"/>
          <w:szCs w:val="32"/>
        </w:rPr>
      </w:pPr>
      <w:r>
        <w:rPr>
          <w:rFonts w:hint="eastAsia" w:ascii="黑体" w:hAnsi="黑体" w:eastAsia="黑体" w:cs="黑体"/>
          <w:sz w:val="32"/>
          <w:szCs w:val="32"/>
        </w:rPr>
        <w:t>附件1</w:t>
      </w:r>
    </w:p>
    <w:p>
      <w:pPr>
        <w:spacing w:line="594" w:lineRule="exact"/>
        <w:jc w:val="center"/>
        <w:rPr>
          <w:rFonts w:ascii="仿宋_GB2312" w:hAnsi="仿宋_GB2312" w:eastAsia="仿宋_GB2312" w:cs="仿宋_GB2312"/>
          <w:kern w:val="0"/>
          <w:sz w:val="32"/>
          <w:szCs w:val="32"/>
        </w:rPr>
      </w:pPr>
      <w:r>
        <w:rPr>
          <w:rFonts w:hint="eastAsia" w:ascii="方正小标宋简体" w:hAnsi="方正小标宋简体" w:eastAsia="方正小标宋简体" w:cs="方正小标宋简体"/>
          <w:kern w:val="0"/>
          <w:sz w:val="44"/>
          <w:szCs w:val="44"/>
        </w:rPr>
        <w:t>期货交割棉公证检验现场/复核检验结果汇总表</w:t>
      </w:r>
    </w:p>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报验号：               仓库：                              货权人：                            第  页共  页</w:t>
      </w:r>
    </w:p>
    <w:tbl>
      <w:tblPr>
        <w:tblStyle w:val="9"/>
        <w:tblW w:w="13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
        <w:gridCol w:w="678"/>
        <w:gridCol w:w="962"/>
        <w:gridCol w:w="678"/>
        <w:gridCol w:w="1726"/>
        <w:gridCol w:w="1726"/>
        <w:gridCol w:w="1460"/>
        <w:gridCol w:w="1460"/>
        <w:gridCol w:w="1460"/>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7"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77"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批号</w:t>
            </w:r>
          </w:p>
        </w:tc>
        <w:tc>
          <w:tcPr>
            <w:tcW w:w="678"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产地</w:t>
            </w:r>
          </w:p>
        </w:tc>
        <w:tc>
          <w:tcPr>
            <w:tcW w:w="962"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加工单位</w:t>
            </w:r>
          </w:p>
        </w:tc>
        <w:tc>
          <w:tcPr>
            <w:tcW w:w="678"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件数</w:t>
            </w:r>
          </w:p>
        </w:tc>
        <w:tc>
          <w:tcPr>
            <w:tcW w:w="1726"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平均回潮率（%）</w:t>
            </w:r>
          </w:p>
        </w:tc>
        <w:tc>
          <w:tcPr>
            <w:tcW w:w="1726" w:type="dxa"/>
            <w:vAlign w:val="center"/>
          </w:tcPr>
          <w:p>
            <w:pPr>
              <w:widowControl/>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最高回潮率（%）</w:t>
            </w:r>
          </w:p>
        </w:tc>
        <w:tc>
          <w:tcPr>
            <w:tcW w:w="1460" w:type="dxa"/>
            <w:vAlign w:val="center"/>
          </w:tcPr>
          <w:p>
            <w:pPr>
              <w:widowControl/>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毛重（吨）</w:t>
            </w:r>
          </w:p>
        </w:tc>
        <w:tc>
          <w:tcPr>
            <w:tcW w:w="1460"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皮重（吨）</w:t>
            </w:r>
          </w:p>
        </w:tc>
        <w:tc>
          <w:tcPr>
            <w:tcW w:w="1460"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净重（吨）</w:t>
            </w:r>
          </w:p>
        </w:tc>
        <w:tc>
          <w:tcPr>
            <w:tcW w:w="962"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抽样数量</w:t>
            </w:r>
          </w:p>
        </w:tc>
        <w:tc>
          <w:tcPr>
            <w:tcW w:w="962" w:type="dxa"/>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包装方式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pPr>
              <w:spacing w:line="360" w:lineRule="exact"/>
              <w:jc w:val="center"/>
              <w:rPr>
                <w:rFonts w:ascii="仿宋_GB2312" w:hAnsi="仿宋_GB2312" w:eastAsia="仿宋_GB2312" w:cs="仿宋_GB2312"/>
                <w:sz w:val="32"/>
                <w:szCs w:val="32"/>
              </w:rPr>
            </w:pPr>
          </w:p>
          <w:p>
            <w:pPr>
              <w:spacing w:line="360" w:lineRule="exact"/>
              <w:jc w:val="center"/>
              <w:rPr>
                <w:rFonts w:ascii="仿宋_GB2312" w:hAnsi="仿宋_GB2312" w:eastAsia="仿宋_GB2312" w:cs="仿宋_GB2312"/>
                <w:sz w:val="32"/>
                <w:szCs w:val="32"/>
              </w:rPr>
            </w:pPr>
          </w:p>
        </w:tc>
        <w:tc>
          <w:tcPr>
            <w:tcW w:w="677" w:type="dxa"/>
            <w:vAlign w:val="center"/>
          </w:tcPr>
          <w:p>
            <w:pPr>
              <w:spacing w:line="360" w:lineRule="exact"/>
              <w:jc w:val="center"/>
              <w:rPr>
                <w:rFonts w:ascii="仿宋_GB2312" w:hAnsi="仿宋_GB2312" w:eastAsia="仿宋_GB2312" w:cs="仿宋_GB2312"/>
                <w:sz w:val="32"/>
                <w:szCs w:val="32"/>
              </w:rPr>
            </w:pPr>
          </w:p>
        </w:tc>
        <w:tc>
          <w:tcPr>
            <w:tcW w:w="678" w:type="dxa"/>
            <w:vAlign w:val="center"/>
          </w:tcPr>
          <w:p>
            <w:pPr>
              <w:spacing w:line="360" w:lineRule="exact"/>
              <w:jc w:val="center"/>
              <w:rPr>
                <w:rFonts w:ascii="仿宋_GB2312" w:hAnsi="仿宋_GB2312" w:eastAsia="仿宋_GB2312" w:cs="仿宋_GB2312"/>
                <w:sz w:val="32"/>
                <w:szCs w:val="32"/>
              </w:rPr>
            </w:pPr>
          </w:p>
        </w:tc>
        <w:tc>
          <w:tcPr>
            <w:tcW w:w="962" w:type="dxa"/>
            <w:vAlign w:val="center"/>
          </w:tcPr>
          <w:p>
            <w:pPr>
              <w:spacing w:line="360" w:lineRule="exact"/>
              <w:jc w:val="center"/>
              <w:rPr>
                <w:rFonts w:ascii="仿宋_GB2312" w:hAnsi="仿宋_GB2312" w:eastAsia="仿宋_GB2312" w:cs="仿宋_GB2312"/>
                <w:sz w:val="32"/>
                <w:szCs w:val="32"/>
              </w:rPr>
            </w:pPr>
          </w:p>
        </w:tc>
        <w:tc>
          <w:tcPr>
            <w:tcW w:w="678" w:type="dxa"/>
            <w:vAlign w:val="center"/>
          </w:tcPr>
          <w:p>
            <w:pPr>
              <w:spacing w:line="360" w:lineRule="exact"/>
              <w:jc w:val="center"/>
              <w:rPr>
                <w:rFonts w:ascii="仿宋_GB2312" w:hAnsi="仿宋_GB2312" w:eastAsia="仿宋_GB2312" w:cs="仿宋_GB2312"/>
                <w:sz w:val="32"/>
                <w:szCs w:val="32"/>
              </w:rPr>
            </w:pPr>
          </w:p>
        </w:tc>
        <w:tc>
          <w:tcPr>
            <w:tcW w:w="1726" w:type="dxa"/>
            <w:vAlign w:val="center"/>
          </w:tcPr>
          <w:p>
            <w:pPr>
              <w:spacing w:line="360" w:lineRule="exact"/>
              <w:jc w:val="center"/>
              <w:rPr>
                <w:rFonts w:ascii="仿宋_GB2312" w:hAnsi="仿宋_GB2312" w:eastAsia="仿宋_GB2312" w:cs="仿宋_GB2312"/>
                <w:sz w:val="32"/>
                <w:szCs w:val="32"/>
              </w:rPr>
            </w:pPr>
          </w:p>
        </w:tc>
        <w:tc>
          <w:tcPr>
            <w:tcW w:w="1726" w:type="dxa"/>
            <w:vAlign w:val="center"/>
          </w:tcPr>
          <w:p>
            <w:pPr>
              <w:spacing w:line="360" w:lineRule="exact"/>
              <w:jc w:val="center"/>
              <w:rPr>
                <w:rFonts w:ascii="仿宋_GB2312" w:hAnsi="仿宋_GB2312" w:eastAsia="仿宋_GB2312" w:cs="仿宋_GB2312"/>
                <w:sz w:val="32"/>
                <w:szCs w:val="32"/>
              </w:rPr>
            </w:pPr>
          </w:p>
        </w:tc>
        <w:tc>
          <w:tcPr>
            <w:tcW w:w="1460" w:type="dxa"/>
            <w:vAlign w:val="center"/>
          </w:tcPr>
          <w:p>
            <w:pPr>
              <w:spacing w:line="360" w:lineRule="exact"/>
              <w:jc w:val="center"/>
              <w:rPr>
                <w:rFonts w:ascii="仿宋_GB2312" w:hAnsi="仿宋_GB2312" w:eastAsia="仿宋_GB2312" w:cs="仿宋_GB2312"/>
                <w:sz w:val="32"/>
                <w:szCs w:val="32"/>
              </w:rPr>
            </w:pPr>
          </w:p>
        </w:tc>
        <w:tc>
          <w:tcPr>
            <w:tcW w:w="1460" w:type="dxa"/>
            <w:vAlign w:val="center"/>
          </w:tcPr>
          <w:p>
            <w:pPr>
              <w:spacing w:line="360" w:lineRule="exact"/>
              <w:jc w:val="center"/>
              <w:rPr>
                <w:rFonts w:ascii="仿宋_GB2312" w:hAnsi="仿宋_GB2312" w:eastAsia="仿宋_GB2312" w:cs="仿宋_GB2312"/>
                <w:sz w:val="32"/>
                <w:szCs w:val="32"/>
              </w:rPr>
            </w:pPr>
          </w:p>
        </w:tc>
        <w:tc>
          <w:tcPr>
            <w:tcW w:w="1460" w:type="dxa"/>
            <w:vAlign w:val="center"/>
          </w:tcPr>
          <w:p>
            <w:pPr>
              <w:spacing w:line="360" w:lineRule="exact"/>
              <w:jc w:val="center"/>
              <w:rPr>
                <w:rFonts w:ascii="仿宋_GB2312" w:hAnsi="仿宋_GB2312" w:eastAsia="仿宋_GB2312" w:cs="仿宋_GB2312"/>
                <w:sz w:val="32"/>
                <w:szCs w:val="32"/>
              </w:rPr>
            </w:pPr>
          </w:p>
        </w:tc>
        <w:tc>
          <w:tcPr>
            <w:tcW w:w="962" w:type="dxa"/>
            <w:vAlign w:val="center"/>
          </w:tcPr>
          <w:p>
            <w:pPr>
              <w:spacing w:line="360" w:lineRule="exact"/>
              <w:jc w:val="center"/>
              <w:rPr>
                <w:rFonts w:ascii="仿宋_GB2312" w:hAnsi="仿宋_GB2312" w:eastAsia="仿宋_GB2312" w:cs="仿宋_GB2312"/>
                <w:sz w:val="32"/>
                <w:szCs w:val="32"/>
              </w:rPr>
            </w:pPr>
          </w:p>
        </w:tc>
        <w:tc>
          <w:tcPr>
            <w:tcW w:w="962" w:type="dxa"/>
            <w:vAlign w:val="center"/>
          </w:tcPr>
          <w:p>
            <w:pPr>
              <w:spacing w:line="3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77" w:type="dxa"/>
            <w:vAlign w:val="center"/>
          </w:tcPr>
          <w:p>
            <w:pPr>
              <w:spacing w:line="360" w:lineRule="exact"/>
              <w:jc w:val="center"/>
              <w:rPr>
                <w:rFonts w:ascii="仿宋_GB2312" w:hAnsi="仿宋_GB2312" w:eastAsia="仿宋_GB2312" w:cs="仿宋_GB2312"/>
                <w:sz w:val="32"/>
                <w:szCs w:val="32"/>
              </w:rPr>
            </w:pPr>
          </w:p>
          <w:p>
            <w:pPr>
              <w:spacing w:line="360" w:lineRule="exact"/>
              <w:jc w:val="center"/>
              <w:rPr>
                <w:rFonts w:ascii="仿宋_GB2312" w:hAnsi="仿宋_GB2312" w:eastAsia="仿宋_GB2312" w:cs="仿宋_GB2312"/>
                <w:sz w:val="32"/>
                <w:szCs w:val="32"/>
              </w:rPr>
            </w:pPr>
          </w:p>
        </w:tc>
        <w:tc>
          <w:tcPr>
            <w:tcW w:w="677" w:type="dxa"/>
            <w:vAlign w:val="center"/>
          </w:tcPr>
          <w:p>
            <w:pPr>
              <w:spacing w:line="360" w:lineRule="exact"/>
              <w:jc w:val="center"/>
              <w:rPr>
                <w:rFonts w:ascii="仿宋_GB2312" w:hAnsi="仿宋_GB2312" w:eastAsia="仿宋_GB2312" w:cs="仿宋_GB2312"/>
                <w:sz w:val="32"/>
                <w:szCs w:val="32"/>
              </w:rPr>
            </w:pPr>
          </w:p>
        </w:tc>
        <w:tc>
          <w:tcPr>
            <w:tcW w:w="678" w:type="dxa"/>
            <w:vAlign w:val="center"/>
          </w:tcPr>
          <w:p>
            <w:pPr>
              <w:spacing w:line="360" w:lineRule="exact"/>
              <w:jc w:val="center"/>
              <w:rPr>
                <w:rFonts w:ascii="仿宋_GB2312" w:hAnsi="仿宋_GB2312" w:eastAsia="仿宋_GB2312" w:cs="仿宋_GB2312"/>
                <w:sz w:val="32"/>
                <w:szCs w:val="32"/>
              </w:rPr>
            </w:pPr>
          </w:p>
        </w:tc>
        <w:tc>
          <w:tcPr>
            <w:tcW w:w="962" w:type="dxa"/>
            <w:vAlign w:val="center"/>
          </w:tcPr>
          <w:p>
            <w:pPr>
              <w:spacing w:line="360" w:lineRule="exact"/>
              <w:jc w:val="center"/>
              <w:rPr>
                <w:rFonts w:ascii="仿宋_GB2312" w:hAnsi="仿宋_GB2312" w:eastAsia="仿宋_GB2312" w:cs="仿宋_GB2312"/>
                <w:sz w:val="32"/>
                <w:szCs w:val="32"/>
              </w:rPr>
            </w:pPr>
          </w:p>
        </w:tc>
        <w:tc>
          <w:tcPr>
            <w:tcW w:w="678" w:type="dxa"/>
            <w:vAlign w:val="center"/>
          </w:tcPr>
          <w:p>
            <w:pPr>
              <w:spacing w:line="360" w:lineRule="exact"/>
              <w:jc w:val="center"/>
              <w:rPr>
                <w:rFonts w:ascii="仿宋_GB2312" w:hAnsi="仿宋_GB2312" w:eastAsia="仿宋_GB2312" w:cs="仿宋_GB2312"/>
                <w:sz w:val="32"/>
                <w:szCs w:val="32"/>
              </w:rPr>
            </w:pPr>
          </w:p>
        </w:tc>
        <w:tc>
          <w:tcPr>
            <w:tcW w:w="1726" w:type="dxa"/>
            <w:vAlign w:val="center"/>
          </w:tcPr>
          <w:p>
            <w:pPr>
              <w:spacing w:line="360" w:lineRule="exact"/>
              <w:jc w:val="center"/>
              <w:rPr>
                <w:rFonts w:ascii="仿宋_GB2312" w:hAnsi="仿宋_GB2312" w:eastAsia="仿宋_GB2312" w:cs="仿宋_GB2312"/>
                <w:sz w:val="32"/>
                <w:szCs w:val="32"/>
              </w:rPr>
            </w:pPr>
          </w:p>
        </w:tc>
        <w:tc>
          <w:tcPr>
            <w:tcW w:w="1726" w:type="dxa"/>
            <w:vAlign w:val="center"/>
          </w:tcPr>
          <w:p>
            <w:pPr>
              <w:spacing w:line="360" w:lineRule="exact"/>
              <w:jc w:val="center"/>
              <w:rPr>
                <w:rFonts w:ascii="仿宋_GB2312" w:hAnsi="仿宋_GB2312" w:eastAsia="仿宋_GB2312" w:cs="仿宋_GB2312"/>
                <w:sz w:val="32"/>
                <w:szCs w:val="32"/>
              </w:rPr>
            </w:pPr>
          </w:p>
        </w:tc>
        <w:tc>
          <w:tcPr>
            <w:tcW w:w="1460" w:type="dxa"/>
            <w:vAlign w:val="center"/>
          </w:tcPr>
          <w:p>
            <w:pPr>
              <w:spacing w:line="360" w:lineRule="exact"/>
              <w:jc w:val="center"/>
              <w:rPr>
                <w:rFonts w:ascii="仿宋_GB2312" w:hAnsi="仿宋_GB2312" w:eastAsia="仿宋_GB2312" w:cs="仿宋_GB2312"/>
                <w:sz w:val="32"/>
                <w:szCs w:val="32"/>
              </w:rPr>
            </w:pPr>
          </w:p>
        </w:tc>
        <w:tc>
          <w:tcPr>
            <w:tcW w:w="1460" w:type="dxa"/>
            <w:vAlign w:val="center"/>
          </w:tcPr>
          <w:p>
            <w:pPr>
              <w:spacing w:line="360" w:lineRule="exact"/>
              <w:jc w:val="center"/>
              <w:rPr>
                <w:rFonts w:ascii="仿宋_GB2312" w:hAnsi="仿宋_GB2312" w:eastAsia="仿宋_GB2312" w:cs="仿宋_GB2312"/>
                <w:sz w:val="32"/>
                <w:szCs w:val="32"/>
              </w:rPr>
            </w:pPr>
          </w:p>
        </w:tc>
        <w:tc>
          <w:tcPr>
            <w:tcW w:w="1460" w:type="dxa"/>
            <w:vAlign w:val="center"/>
          </w:tcPr>
          <w:p>
            <w:pPr>
              <w:spacing w:line="360" w:lineRule="exact"/>
              <w:jc w:val="center"/>
              <w:rPr>
                <w:rFonts w:ascii="仿宋_GB2312" w:hAnsi="仿宋_GB2312" w:eastAsia="仿宋_GB2312" w:cs="仿宋_GB2312"/>
                <w:sz w:val="32"/>
                <w:szCs w:val="32"/>
              </w:rPr>
            </w:pPr>
          </w:p>
        </w:tc>
        <w:tc>
          <w:tcPr>
            <w:tcW w:w="962" w:type="dxa"/>
            <w:vAlign w:val="center"/>
          </w:tcPr>
          <w:p>
            <w:pPr>
              <w:spacing w:line="360" w:lineRule="exact"/>
              <w:jc w:val="center"/>
              <w:rPr>
                <w:rFonts w:ascii="仿宋_GB2312" w:hAnsi="仿宋_GB2312" w:eastAsia="仿宋_GB2312" w:cs="仿宋_GB2312"/>
                <w:sz w:val="32"/>
                <w:szCs w:val="32"/>
              </w:rPr>
            </w:pPr>
          </w:p>
        </w:tc>
        <w:tc>
          <w:tcPr>
            <w:tcW w:w="962" w:type="dxa"/>
            <w:vAlign w:val="center"/>
          </w:tcPr>
          <w:p>
            <w:pPr>
              <w:spacing w:line="3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77" w:type="dxa"/>
            <w:vAlign w:val="center"/>
          </w:tcPr>
          <w:p>
            <w:pPr>
              <w:spacing w:line="360" w:lineRule="exact"/>
              <w:jc w:val="center"/>
              <w:rPr>
                <w:rFonts w:ascii="仿宋_GB2312" w:hAnsi="仿宋_GB2312" w:eastAsia="仿宋_GB2312" w:cs="仿宋_GB2312"/>
                <w:sz w:val="32"/>
                <w:szCs w:val="32"/>
              </w:rPr>
            </w:pPr>
          </w:p>
          <w:p>
            <w:pPr>
              <w:spacing w:line="360" w:lineRule="exact"/>
              <w:jc w:val="center"/>
              <w:rPr>
                <w:rFonts w:ascii="仿宋_GB2312" w:hAnsi="仿宋_GB2312" w:eastAsia="仿宋_GB2312" w:cs="仿宋_GB2312"/>
                <w:sz w:val="32"/>
                <w:szCs w:val="32"/>
              </w:rPr>
            </w:pPr>
          </w:p>
        </w:tc>
        <w:tc>
          <w:tcPr>
            <w:tcW w:w="677" w:type="dxa"/>
            <w:vAlign w:val="center"/>
          </w:tcPr>
          <w:p>
            <w:pPr>
              <w:spacing w:line="360" w:lineRule="exact"/>
              <w:jc w:val="center"/>
              <w:rPr>
                <w:rFonts w:ascii="仿宋_GB2312" w:hAnsi="仿宋_GB2312" w:eastAsia="仿宋_GB2312" w:cs="仿宋_GB2312"/>
                <w:sz w:val="32"/>
                <w:szCs w:val="32"/>
              </w:rPr>
            </w:pPr>
          </w:p>
        </w:tc>
        <w:tc>
          <w:tcPr>
            <w:tcW w:w="678" w:type="dxa"/>
            <w:vAlign w:val="center"/>
          </w:tcPr>
          <w:p>
            <w:pPr>
              <w:spacing w:line="360" w:lineRule="exact"/>
              <w:jc w:val="center"/>
              <w:rPr>
                <w:rFonts w:ascii="仿宋_GB2312" w:hAnsi="仿宋_GB2312" w:eastAsia="仿宋_GB2312" w:cs="仿宋_GB2312"/>
                <w:sz w:val="32"/>
                <w:szCs w:val="32"/>
              </w:rPr>
            </w:pPr>
          </w:p>
        </w:tc>
        <w:tc>
          <w:tcPr>
            <w:tcW w:w="962" w:type="dxa"/>
            <w:vAlign w:val="center"/>
          </w:tcPr>
          <w:p>
            <w:pPr>
              <w:spacing w:line="360" w:lineRule="exact"/>
              <w:jc w:val="center"/>
              <w:rPr>
                <w:rFonts w:ascii="仿宋_GB2312" w:hAnsi="仿宋_GB2312" w:eastAsia="仿宋_GB2312" w:cs="仿宋_GB2312"/>
                <w:sz w:val="32"/>
                <w:szCs w:val="32"/>
              </w:rPr>
            </w:pPr>
          </w:p>
        </w:tc>
        <w:tc>
          <w:tcPr>
            <w:tcW w:w="678" w:type="dxa"/>
            <w:vAlign w:val="center"/>
          </w:tcPr>
          <w:p>
            <w:pPr>
              <w:spacing w:line="360" w:lineRule="exact"/>
              <w:jc w:val="center"/>
              <w:rPr>
                <w:rFonts w:ascii="仿宋_GB2312" w:hAnsi="仿宋_GB2312" w:eastAsia="仿宋_GB2312" w:cs="仿宋_GB2312"/>
                <w:sz w:val="32"/>
                <w:szCs w:val="32"/>
              </w:rPr>
            </w:pPr>
          </w:p>
        </w:tc>
        <w:tc>
          <w:tcPr>
            <w:tcW w:w="1726" w:type="dxa"/>
            <w:vAlign w:val="center"/>
          </w:tcPr>
          <w:p>
            <w:pPr>
              <w:spacing w:line="360" w:lineRule="exact"/>
              <w:jc w:val="center"/>
              <w:rPr>
                <w:rFonts w:ascii="仿宋_GB2312" w:hAnsi="仿宋_GB2312" w:eastAsia="仿宋_GB2312" w:cs="仿宋_GB2312"/>
                <w:sz w:val="32"/>
                <w:szCs w:val="32"/>
              </w:rPr>
            </w:pPr>
          </w:p>
        </w:tc>
        <w:tc>
          <w:tcPr>
            <w:tcW w:w="1726" w:type="dxa"/>
            <w:vAlign w:val="center"/>
          </w:tcPr>
          <w:p>
            <w:pPr>
              <w:spacing w:line="360" w:lineRule="exact"/>
              <w:jc w:val="center"/>
              <w:rPr>
                <w:rFonts w:ascii="仿宋_GB2312" w:hAnsi="仿宋_GB2312" w:eastAsia="仿宋_GB2312" w:cs="仿宋_GB2312"/>
                <w:sz w:val="32"/>
                <w:szCs w:val="32"/>
              </w:rPr>
            </w:pPr>
          </w:p>
        </w:tc>
        <w:tc>
          <w:tcPr>
            <w:tcW w:w="1460" w:type="dxa"/>
            <w:vAlign w:val="center"/>
          </w:tcPr>
          <w:p>
            <w:pPr>
              <w:spacing w:line="360" w:lineRule="exact"/>
              <w:jc w:val="center"/>
              <w:rPr>
                <w:rFonts w:ascii="仿宋_GB2312" w:hAnsi="仿宋_GB2312" w:eastAsia="仿宋_GB2312" w:cs="仿宋_GB2312"/>
                <w:sz w:val="32"/>
                <w:szCs w:val="32"/>
              </w:rPr>
            </w:pPr>
          </w:p>
        </w:tc>
        <w:tc>
          <w:tcPr>
            <w:tcW w:w="1460" w:type="dxa"/>
            <w:vAlign w:val="center"/>
          </w:tcPr>
          <w:p>
            <w:pPr>
              <w:spacing w:line="360" w:lineRule="exact"/>
              <w:jc w:val="center"/>
              <w:rPr>
                <w:rFonts w:ascii="仿宋_GB2312" w:hAnsi="仿宋_GB2312" w:eastAsia="仿宋_GB2312" w:cs="仿宋_GB2312"/>
                <w:sz w:val="32"/>
                <w:szCs w:val="32"/>
              </w:rPr>
            </w:pPr>
          </w:p>
        </w:tc>
        <w:tc>
          <w:tcPr>
            <w:tcW w:w="1460" w:type="dxa"/>
            <w:vAlign w:val="center"/>
          </w:tcPr>
          <w:p>
            <w:pPr>
              <w:spacing w:line="360" w:lineRule="exact"/>
              <w:jc w:val="center"/>
              <w:rPr>
                <w:rFonts w:ascii="仿宋_GB2312" w:hAnsi="仿宋_GB2312" w:eastAsia="仿宋_GB2312" w:cs="仿宋_GB2312"/>
                <w:sz w:val="32"/>
                <w:szCs w:val="32"/>
              </w:rPr>
            </w:pPr>
          </w:p>
        </w:tc>
        <w:tc>
          <w:tcPr>
            <w:tcW w:w="962" w:type="dxa"/>
            <w:vAlign w:val="center"/>
          </w:tcPr>
          <w:p>
            <w:pPr>
              <w:spacing w:line="360" w:lineRule="exact"/>
              <w:jc w:val="center"/>
              <w:rPr>
                <w:rFonts w:ascii="仿宋_GB2312" w:hAnsi="仿宋_GB2312" w:eastAsia="仿宋_GB2312" w:cs="仿宋_GB2312"/>
                <w:sz w:val="32"/>
                <w:szCs w:val="32"/>
              </w:rPr>
            </w:pPr>
          </w:p>
        </w:tc>
        <w:tc>
          <w:tcPr>
            <w:tcW w:w="962" w:type="dxa"/>
            <w:vAlign w:val="center"/>
          </w:tcPr>
          <w:p>
            <w:pPr>
              <w:spacing w:line="3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994" w:type="dxa"/>
            <w:gridSpan w:val="4"/>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仓库签字：</w:t>
            </w:r>
          </w:p>
        </w:tc>
        <w:tc>
          <w:tcPr>
            <w:tcW w:w="4130" w:type="dxa"/>
            <w:gridSpan w:val="3"/>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货权人签字：</w:t>
            </w:r>
          </w:p>
        </w:tc>
        <w:tc>
          <w:tcPr>
            <w:tcW w:w="6304" w:type="dxa"/>
            <w:gridSpan w:val="5"/>
            <w:vAlign w:val="center"/>
          </w:tcPr>
          <w:p>
            <w:pPr>
              <w:spacing w:line="3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承检机构签字：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54" w:type="dxa"/>
            <w:gridSpan w:val="2"/>
            <w:vAlign w:val="center"/>
          </w:tcPr>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12074" w:type="dxa"/>
            <w:gridSpan w:val="10"/>
            <w:vAlign w:val="center"/>
          </w:tcPr>
          <w:p>
            <w:pPr>
              <w:spacing w:line="360" w:lineRule="exact"/>
              <w:jc w:val="center"/>
              <w:rPr>
                <w:rFonts w:ascii="仿宋_GB2312" w:hAnsi="仿宋_GB2312" w:eastAsia="仿宋_GB2312" w:cs="仿宋_GB2312"/>
                <w:sz w:val="32"/>
                <w:szCs w:val="32"/>
              </w:rPr>
            </w:pPr>
          </w:p>
        </w:tc>
      </w:tr>
    </w:tbl>
    <w:p>
      <w:pPr>
        <w:spacing w:line="3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审核：                          制表：                              年   月   日  </w:t>
      </w:r>
    </w:p>
    <w:p>
      <w:pPr>
        <w:spacing w:line="360" w:lineRule="exact"/>
        <w:rPr>
          <w:rFonts w:ascii="仿宋_GB2312" w:hAnsi="仿宋_GB2312" w:eastAsia="仿宋_GB2312" w:cs="仿宋_GB2312"/>
          <w:sz w:val="32"/>
          <w:szCs w:val="32"/>
        </w:rPr>
        <w:sectPr>
          <w:pgSz w:w="16840" w:h="11907" w:orient="landscape"/>
          <w:pgMar w:top="1474" w:right="2041" w:bottom="1587" w:left="1587" w:header="851" w:footer="1134" w:gutter="0"/>
          <w:cols w:space="0" w:num="1"/>
          <w:docGrid w:linePitch="287" w:charSpace="0"/>
        </w:sectPr>
      </w:pPr>
      <w:r>
        <w:rPr>
          <w:rFonts w:hint="eastAsia" w:ascii="仿宋_GB2312" w:hAnsi="仿宋_GB2312" w:eastAsia="仿宋_GB2312" w:cs="仿宋_GB2312"/>
          <w:sz w:val="32"/>
          <w:szCs w:val="32"/>
        </w:rPr>
        <w:br w:type="page"/>
      </w:r>
    </w:p>
    <w:p>
      <w:pPr>
        <w:spacing w:line="594" w:lineRule="exact"/>
        <w:rPr>
          <w:rFonts w:ascii="黑体" w:hAnsi="黑体" w:eastAsia="黑体" w:cs="黑体"/>
          <w:sz w:val="32"/>
          <w:szCs w:val="32"/>
        </w:rPr>
      </w:pPr>
      <w:r>
        <w:rPr>
          <w:rFonts w:hint="eastAsia" w:ascii="黑体" w:hAnsi="黑体" w:eastAsia="黑体" w:cs="黑体"/>
          <w:sz w:val="32"/>
          <w:szCs w:val="32"/>
        </w:rPr>
        <w:t>附件2</w:t>
      </w:r>
    </w:p>
    <w:p>
      <w:pPr>
        <w:spacing w:line="594"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期货交割棉花质量公证检验样品卡（卡号：   )</w:t>
      </w:r>
    </w:p>
    <w:tbl>
      <w:tblPr>
        <w:tblStyle w:val="9"/>
        <w:tblW w:w="88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6" w:type="dxa"/>
            <w:vAlign w:val="center"/>
          </w:tcPr>
          <w:p>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批号</w:t>
            </w:r>
          </w:p>
        </w:tc>
        <w:tc>
          <w:tcPr>
            <w:tcW w:w="6295" w:type="dxa"/>
            <w:vAlign w:val="center"/>
          </w:tcPr>
          <w:p>
            <w:pPr>
              <w:spacing w:line="594" w:lineRule="exact"/>
              <w:rPr>
                <w:rFonts w:ascii="仿宋_GB2312" w:hAnsi="仿宋_GB2312" w:eastAsia="仿宋_GB2312" w:cs="仿宋_GB2312"/>
                <w:sz w:val="32"/>
                <w:szCs w:val="32"/>
              </w:rPr>
            </w:pPr>
          </w:p>
          <w:p>
            <w:pPr>
              <w:spacing w:line="594"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566" w:type="dxa"/>
            <w:vAlign w:val="center"/>
          </w:tcPr>
          <w:p>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棉花加工企业</w:t>
            </w:r>
          </w:p>
        </w:tc>
        <w:tc>
          <w:tcPr>
            <w:tcW w:w="6295" w:type="dxa"/>
            <w:vAlign w:val="center"/>
          </w:tcPr>
          <w:p>
            <w:pPr>
              <w:spacing w:line="594"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566" w:type="dxa"/>
            <w:vAlign w:val="center"/>
          </w:tcPr>
          <w:p>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公检实验室</w:t>
            </w:r>
          </w:p>
        </w:tc>
        <w:tc>
          <w:tcPr>
            <w:tcW w:w="6295" w:type="dxa"/>
            <w:vAlign w:val="center"/>
          </w:tcPr>
          <w:p>
            <w:pPr>
              <w:spacing w:line="594"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6" w:type="dxa"/>
            <w:vAlign w:val="center"/>
          </w:tcPr>
          <w:p>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包装袋号</w:t>
            </w:r>
          </w:p>
        </w:tc>
        <w:tc>
          <w:tcPr>
            <w:tcW w:w="6295" w:type="dxa"/>
            <w:vAlign w:val="center"/>
          </w:tcPr>
          <w:p>
            <w:pPr>
              <w:spacing w:line="594" w:lineRule="exact"/>
              <w:rPr>
                <w:rFonts w:ascii="仿宋_GB2312" w:hAnsi="仿宋_GB2312" w:eastAsia="仿宋_GB2312" w:cs="仿宋_GB2312"/>
                <w:sz w:val="32"/>
                <w:szCs w:val="32"/>
              </w:rPr>
            </w:pPr>
          </w:p>
          <w:p>
            <w:pPr>
              <w:spacing w:line="594"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566" w:type="dxa"/>
            <w:vAlign w:val="center"/>
          </w:tcPr>
          <w:p>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样品数</w:t>
            </w:r>
          </w:p>
        </w:tc>
        <w:tc>
          <w:tcPr>
            <w:tcW w:w="6295" w:type="dxa"/>
            <w:vAlign w:val="center"/>
          </w:tcPr>
          <w:p>
            <w:pPr>
              <w:spacing w:line="594" w:lineRule="exact"/>
              <w:rPr>
                <w:rFonts w:ascii="仿宋_GB2312" w:hAnsi="仿宋_GB2312" w:eastAsia="仿宋_GB2312" w:cs="仿宋_GB2312"/>
                <w:sz w:val="32"/>
                <w:szCs w:val="32"/>
              </w:rPr>
            </w:pPr>
          </w:p>
          <w:p>
            <w:pPr>
              <w:spacing w:line="594"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61" w:type="dxa"/>
            <w:gridSpan w:val="2"/>
            <w:vAlign w:val="center"/>
          </w:tcPr>
          <w:p>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bl>
    <w:p>
      <w:pPr>
        <w:spacing w:line="594"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抽样单位抽样人员：                 时间：  年   月   日</w:t>
      </w:r>
    </w:p>
    <w:p>
      <w:pPr>
        <w:spacing w:line="594"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94" w:lineRule="exact"/>
        <w:rPr>
          <w:rFonts w:ascii="黑体" w:hAnsi="黑体" w:eastAsia="黑体" w:cs="黑体"/>
          <w:sz w:val="32"/>
          <w:szCs w:val="32"/>
        </w:rPr>
      </w:pPr>
      <w:r>
        <w:rPr>
          <w:rFonts w:hint="eastAsia" w:ascii="黑体" w:hAnsi="黑体" w:eastAsia="黑体" w:cs="黑体"/>
          <w:sz w:val="32"/>
          <w:szCs w:val="32"/>
        </w:rPr>
        <w:t>附件3</w:t>
      </w:r>
    </w:p>
    <w:p>
      <w:pPr>
        <w:spacing w:line="594" w:lineRule="exact"/>
        <w:ind w:left="420" w:leftChars="200"/>
        <w:jc w:val="center"/>
        <w:rPr>
          <w:rFonts w:ascii="仿宋_GB2312" w:hAnsi="仿宋_GB2312" w:eastAsia="仿宋_GB2312" w:cs="仿宋_GB2312"/>
          <w:color w:val="000000"/>
          <w:kern w:val="0"/>
          <w:sz w:val="32"/>
          <w:szCs w:val="32"/>
        </w:rPr>
      </w:pPr>
      <w:r>
        <w:rPr>
          <w:rFonts w:hint="eastAsia" w:ascii="方正小标宋简体" w:hAnsi="方正小标宋简体" w:eastAsia="方正小标宋简体" w:cs="方正小标宋简体"/>
          <w:kern w:val="0"/>
          <w:sz w:val="36"/>
          <w:szCs w:val="36"/>
        </w:rPr>
        <w:t>棉花质量公证检验样品交接单</w:t>
      </w:r>
    </w:p>
    <w:p>
      <w:pPr>
        <w:widowControl/>
        <w:spacing w:line="534" w:lineRule="exact"/>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编号：                            检验类型：                             </w:t>
      </w:r>
    </w:p>
    <w:tbl>
      <w:tblPr>
        <w:tblStyle w:val="9"/>
        <w:tblW w:w="8589" w:type="dxa"/>
        <w:jc w:val="center"/>
        <w:tblLayout w:type="fixed"/>
        <w:tblCellMar>
          <w:top w:w="0" w:type="dxa"/>
          <w:left w:w="108" w:type="dxa"/>
          <w:bottom w:w="0" w:type="dxa"/>
          <w:right w:w="108" w:type="dxa"/>
        </w:tblCellMar>
      </w:tblPr>
      <w:tblGrid>
        <w:gridCol w:w="776"/>
        <w:gridCol w:w="1581"/>
        <w:gridCol w:w="2409"/>
        <w:gridCol w:w="747"/>
        <w:gridCol w:w="749"/>
        <w:gridCol w:w="591"/>
        <w:gridCol w:w="978"/>
        <w:gridCol w:w="758"/>
      </w:tblGrid>
      <w:tr>
        <w:tblPrEx>
          <w:tblCellMar>
            <w:top w:w="0" w:type="dxa"/>
            <w:left w:w="108" w:type="dxa"/>
            <w:bottom w:w="0" w:type="dxa"/>
            <w:right w:w="108" w:type="dxa"/>
          </w:tblCellMar>
        </w:tblPrEx>
        <w:trPr>
          <w:trHeight w:val="434" w:hRule="atLeast"/>
          <w:jc w:val="center"/>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公检实验室</w:t>
            </w:r>
          </w:p>
        </w:tc>
        <w:tc>
          <w:tcPr>
            <w:tcW w:w="2409" w:type="dxa"/>
            <w:tcBorders>
              <w:top w:val="single" w:color="auto" w:sz="4" w:space="0"/>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496" w:type="dxa"/>
            <w:gridSpan w:val="2"/>
            <w:tcBorders>
              <w:top w:val="single" w:color="auto" w:sz="4" w:space="0"/>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抽样单位</w:t>
            </w:r>
          </w:p>
        </w:tc>
        <w:tc>
          <w:tcPr>
            <w:tcW w:w="2327" w:type="dxa"/>
            <w:gridSpan w:val="3"/>
            <w:tcBorders>
              <w:top w:val="single" w:color="auto" w:sz="4" w:space="0"/>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434" w:hRule="atLeast"/>
          <w:jc w:val="center"/>
        </w:trPr>
        <w:tc>
          <w:tcPr>
            <w:tcW w:w="2357" w:type="dxa"/>
            <w:gridSpan w:val="2"/>
            <w:tcBorders>
              <w:top w:val="single" w:color="auto" w:sz="4" w:space="0"/>
              <w:left w:val="single" w:color="auto" w:sz="4" w:space="0"/>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抽样地点</w:t>
            </w:r>
          </w:p>
        </w:tc>
        <w:tc>
          <w:tcPr>
            <w:tcW w:w="6232" w:type="dxa"/>
            <w:gridSpan w:val="6"/>
            <w:tcBorders>
              <w:top w:val="single" w:color="auto" w:sz="4" w:space="0"/>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1055" w:hRule="atLeast"/>
          <w:jc w:val="center"/>
        </w:trPr>
        <w:tc>
          <w:tcPr>
            <w:tcW w:w="776" w:type="dxa"/>
            <w:tcBorders>
              <w:top w:val="nil"/>
              <w:left w:val="single" w:color="auto" w:sz="4" w:space="0"/>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1581" w:type="dxa"/>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批号</w:t>
            </w:r>
          </w:p>
        </w:tc>
        <w:tc>
          <w:tcPr>
            <w:tcW w:w="3156"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加工企业</w:t>
            </w:r>
          </w:p>
        </w:tc>
        <w:tc>
          <w:tcPr>
            <w:tcW w:w="1340"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包装袋编号</w:t>
            </w:r>
          </w:p>
        </w:tc>
        <w:tc>
          <w:tcPr>
            <w:tcW w:w="978" w:type="dxa"/>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样品只数</w:t>
            </w:r>
          </w:p>
        </w:tc>
        <w:tc>
          <w:tcPr>
            <w:tcW w:w="758" w:type="dxa"/>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tc>
      </w:tr>
      <w:tr>
        <w:tblPrEx>
          <w:tblCellMar>
            <w:top w:w="0" w:type="dxa"/>
            <w:left w:w="108" w:type="dxa"/>
            <w:bottom w:w="0" w:type="dxa"/>
            <w:right w:w="108" w:type="dxa"/>
          </w:tblCellMar>
        </w:tblPrEx>
        <w:trPr>
          <w:trHeight w:val="567" w:hRule="atLeast"/>
          <w:jc w:val="center"/>
        </w:trPr>
        <w:tc>
          <w:tcPr>
            <w:tcW w:w="776" w:type="dxa"/>
            <w:tcBorders>
              <w:top w:val="nil"/>
              <w:left w:val="single" w:color="auto" w:sz="4" w:space="0"/>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bookmarkStart w:id="0" w:name="_Hlk420930219"/>
          </w:p>
        </w:tc>
        <w:tc>
          <w:tcPr>
            <w:tcW w:w="1581" w:type="dxa"/>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3156"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340"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97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只</w:t>
            </w:r>
          </w:p>
        </w:tc>
        <w:tc>
          <w:tcPr>
            <w:tcW w:w="75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565" w:hRule="atLeast"/>
          <w:jc w:val="center"/>
        </w:trPr>
        <w:tc>
          <w:tcPr>
            <w:tcW w:w="776" w:type="dxa"/>
            <w:tcBorders>
              <w:top w:val="nil"/>
              <w:left w:val="single" w:color="auto" w:sz="4" w:space="0"/>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581" w:type="dxa"/>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3156"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340"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97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只</w:t>
            </w:r>
          </w:p>
        </w:tc>
        <w:tc>
          <w:tcPr>
            <w:tcW w:w="75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567" w:hRule="atLeast"/>
          <w:jc w:val="center"/>
        </w:trPr>
        <w:tc>
          <w:tcPr>
            <w:tcW w:w="776" w:type="dxa"/>
            <w:tcBorders>
              <w:top w:val="nil"/>
              <w:left w:val="single" w:color="auto" w:sz="4" w:space="0"/>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581" w:type="dxa"/>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3156"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340"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97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只</w:t>
            </w:r>
          </w:p>
        </w:tc>
        <w:tc>
          <w:tcPr>
            <w:tcW w:w="75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567" w:hRule="atLeast"/>
          <w:jc w:val="center"/>
        </w:trPr>
        <w:tc>
          <w:tcPr>
            <w:tcW w:w="776" w:type="dxa"/>
            <w:tcBorders>
              <w:top w:val="nil"/>
              <w:left w:val="single" w:color="auto" w:sz="4" w:space="0"/>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581" w:type="dxa"/>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3156"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340"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97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只</w:t>
            </w:r>
          </w:p>
        </w:tc>
        <w:tc>
          <w:tcPr>
            <w:tcW w:w="75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p>
        </w:tc>
      </w:tr>
      <w:bookmarkEnd w:id="0"/>
      <w:tr>
        <w:tblPrEx>
          <w:tblCellMar>
            <w:top w:w="0" w:type="dxa"/>
            <w:left w:w="108" w:type="dxa"/>
            <w:bottom w:w="0" w:type="dxa"/>
            <w:right w:w="108" w:type="dxa"/>
          </w:tblCellMar>
        </w:tblPrEx>
        <w:trPr>
          <w:trHeight w:val="567" w:hRule="atLeast"/>
          <w:jc w:val="center"/>
        </w:trPr>
        <w:tc>
          <w:tcPr>
            <w:tcW w:w="776" w:type="dxa"/>
            <w:tcBorders>
              <w:top w:val="nil"/>
              <w:left w:val="single" w:color="auto" w:sz="4" w:space="0"/>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581" w:type="dxa"/>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3156"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340"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97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只</w:t>
            </w:r>
          </w:p>
        </w:tc>
        <w:tc>
          <w:tcPr>
            <w:tcW w:w="75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567" w:hRule="atLeast"/>
          <w:jc w:val="center"/>
        </w:trPr>
        <w:tc>
          <w:tcPr>
            <w:tcW w:w="776" w:type="dxa"/>
            <w:tcBorders>
              <w:top w:val="nil"/>
              <w:left w:val="single" w:color="auto" w:sz="4" w:space="0"/>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581" w:type="dxa"/>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3156"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1340" w:type="dxa"/>
            <w:gridSpan w:val="2"/>
            <w:tcBorders>
              <w:top w:val="nil"/>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p>
        </w:tc>
        <w:tc>
          <w:tcPr>
            <w:tcW w:w="97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只</w:t>
            </w:r>
          </w:p>
        </w:tc>
        <w:tc>
          <w:tcPr>
            <w:tcW w:w="758" w:type="dxa"/>
            <w:tcBorders>
              <w:top w:val="nil"/>
              <w:left w:val="nil"/>
              <w:bottom w:val="single" w:color="auto" w:sz="4" w:space="0"/>
              <w:right w:val="single" w:color="auto" w:sz="4" w:space="0"/>
            </w:tcBorders>
            <w:vAlign w:val="center"/>
          </w:tcPr>
          <w:p>
            <w:pPr>
              <w:spacing w:line="534" w:lineRule="exact"/>
              <w:jc w:val="right"/>
              <w:rPr>
                <w:rFonts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695" w:hRule="atLeast"/>
          <w:jc w:val="center"/>
        </w:trPr>
        <w:tc>
          <w:tcPr>
            <w:tcW w:w="776" w:type="dxa"/>
            <w:tcBorders>
              <w:top w:val="nil"/>
              <w:left w:val="single" w:color="auto" w:sz="4" w:space="0"/>
              <w:bottom w:val="single" w:color="auto" w:sz="4" w:space="0"/>
              <w:right w:val="single" w:color="auto" w:sz="4" w:space="0"/>
            </w:tcBorders>
            <w:vAlign w:val="center"/>
          </w:tcPr>
          <w:p>
            <w:pPr>
              <w:widowControl/>
              <w:spacing w:line="534"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tc>
        <w:tc>
          <w:tcPr>
            <w:tcW w:w="7813" w:type="dxa"/>
            <w:gridSpan w:val="7"/>
            <w:tcBorders>
              <w:top w:val="single" w:color="auto" w:sz="4" w:space="0"/>
              <w:left w:val="nil"/>
              <w:bottom w:val="single" w:color="auto" w:sz="4" w:space="0"/>
              <w:right w:val="single" w:color="auto" w:sz="4" w:space="0"/>
            </w:tcBorders>
            <w:vAlign w:val="center"/>
          </w:tcPr>
          <w:p>
            <w:pPr>
              <w:widowControl/>
              <w:spacing w:line="534"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widowControl/>
              <w:spacing w:line="534" w:lineRule="exact"/>
              <w:jc w:val="center"/>
              <w:rPr>
                <w:rFonts w:ascii="仿宋_GB2312" w:hAnsi="仿宋_GB2312" w:eastAsia="仿宋_GB2312" w:cs="仿宋_GB2312"/>
                <w:color w:val="000000"/>
                <w:sz w:val="32"/>
                <w:szCs w:val="32"/>
              </w:rPr>
            </w:pPr>
          </w:p>
        </w:tc>
      </w:tr>
    </w:tbl>
    <w:p>
      <w:pPr>
        <w:spacing w:line="534" w:lineRule="exact"/>
        <w:ind w:firstLine="320" w:firstLineChars="100"/>
        <w:rPr>
          <w:rFonts w:ascii="仿宋_GB2312" w:hAnsi="仿宋_GB2312" w:eastAsia="仿宋_GB2312" w:cs="仿宋_GB2312"/>
          <w:color w:val="000000"/>
          <w:sz w:val="32"/>
          <w:szCs w:val="32"/>
        </w:rPr>
      </w:pPr>
      <w:bookmarkStart w:id="1" w:name="OLE_LINK13"/>
      <w:bookmarkStart w:id="2" w:name="OLE_LINK14"/>
      <w:r>
        <w:rPr>
          <w:rFonts w:hint="eastAsia" w:ascii="仿宋_GB2312" w:hAnsi="仿宋_GB2312" w:eastAsia="仿宋_GB2312" w:cs="仿宋_GB2312"/>
          <w:color w:val="000000"/>
          <w:sz w:val="32"/>
          <w:szCs w:val="32"/>
        </w:rPr>
        <w:t>抽样单位抽样人员：           公检实验室样品管理员：</w:t>
      </w:r>
    </w:p>
    <w:p>
      <w:pPr>
        <w:spacing w:line="534" w:lineRule="exact"/>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交接时间：</w:t>
      </w:r>
      <w:bookmarkStart w:id="3" w:name="OLE_LINK8"/>
      <w:bookmarkStart w:id="4" w:name="OLE_LINK7"/>
      <w:r>
        <w:rPr>
          <w:rFonts w:hint="eastAsia" w:ascii="仿宋_GB2312" w:hAnsi="仿宋_GB2312" w:eastAsia="仿宋_GB2312" w:cs="仿宋_GB2312"/>
          <w:color w:val="000000"/>
          <w:sz w:val="32"/>
          <w:szCs w:val="32"/>
        </w:rPr>
        <w:t xml:space="preserve">   年   月   日</w:t>
      </w:r>
      <w:bookmarkEnd w:id="3"/>
      <w:bookmarkEnd w:id="4"/>
      <w:r>
        <w:rPr>
          <w:rFonts w:hint="eastAsia" w:ascii="仿宋_GB2312" w:hAnsi="仿宋_GB2312" w:eastAsia="仿宋_GB2312" w:cs="仿宋_GB2312"/>
          <w:color w:val="000000"/>
          <w:sz w:val="32"/>
          <w:szCs w:val="32"/>
        </w:rPr>
        <w:t xml:space="preserve">   时   分</w:t>
      </w:r>
    </w:p>
    <w:bookmarkEnd w:id="1"/>
    <w:bookmarkEnd w:id="2"/>
    <w:p>
      <w:pPr>
        <w:spacing w:line="534" w:lineRule="exact"/>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交接地点：</w:t>
      </w:r>
    </w:p>
    <w:p>
      <w:pPr>
        <w:spacing w:line="594" w:lineRule="exact"/>
        <w:rPr>
          <w:rFonts w:ascii="黑体" w:hAnsi="黑体" w:eastAsia="黑体" w:cs="黑体"/>
          <w:color w:val="000000"/>
          <w:sz w:val="32"/>
          <w:szCs w:val="32"/>
        </w:rPr>
        <w:sectPr>
          <w:footerReference r:id="rId6" w:type="default"/>
          <w:pgSz w:w="11905" w:h="16838"/>
          <w:pgMar w:top="2041" w:right="1587" w:bottom="1587" w:left="1474" w:header="851" w:footer="1134" w:gutter="0"/>
          <w:cols w:space="0" w:num="1"/>
          <w:docGrid w:linePitch="319" w:charSpace="0"/>
        </w:sectPr>
      </w:pPr>
      <w:r>
        <w:rPr>
          <w:rFonts w:hint="eastAsia" w:ascii="仿宋_GB2312" w:hAnsi="仿宋_GB2312" w:eastAsia="仿宋_GB2312" w:cs="仿宋_GB2312"/>
          <w:color w:val="000000"/>
          <w:sz w:val="32"/>
          <w:szCs w:val="32"/>
        </w:rPr>
        <w:br w:type="page"/>
      </w:r>
    </w:p>
    <w:p>
      <w:pPr>
        <w:spacing w:line="594" w:lineRule="exact"/>
        <w:rPr>
          <w:rFonts w:ascii="黑体" w:hAnsi="黑体" w:eastAsia="黑体" w:cs="黑体"/>
          <w:color w:val="000000"/>
          <w:sz w:val="32"/>
          <w:szCs w:val="32"/>
        </w:rPr>
      </w:pPr>
      <w:r>
        <w:rPr>
          <w:rFonts w:hint="eastAsia" w:ascii="黑体" w:hAnsi="黑体" w:eastAsia="黑体" w:cs="黑体"/>
          <w:color w:val="000000"/>
          <w:sz w:val="32"/>
          <w:szCs w:val="32"/>
        </w:rPr>
        <w:t>附件4</w:t>
      </w:r>
    </w:p>
    <w:p>
      <w:pPr>
        <w:spacing w:line="594"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期货交割棉复检意向书</w:t>
      </w:r>
    </w:p>
    <w:p>
      <w:pPr>
        <w:spacing w:line="38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复检意向单位名称（公章）                                            日期： 年  月  日</w:t>
      </w:r>
    </w:p>
    <w:tbl>
      <w:tblPr>
        <w:tblStyle w:val="9"/>
        <w:tblW w:w="13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995"/>
        <w:gridCol w:w="1634"/>
        <w:gridCol w:w="1548"/>
        <w:gridCol w:w="1859"/>
        <w:gridCol w:w="3587"/>
        <w:gridCol w:w="132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55"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995"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报验号</w:t>
            </w:r>
          </w:p>
        </w:tc>
        <w:tc>
          <w:tcPr>
            <w:tcW w:w="1634"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公证检验证书编号</w:t>
            </w:r>
          </w:p>
        </w:tc>
        <w:tc>
          <w:tcPr>
            <w:tcW w:w="1548"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批号</w:t>
            </w:r>
          </w:p>
        </w:tc>
        <w:tc>
          <w:tcPr>
            <w:tcW w:w="1859"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复检类别</w:t>
            </w:r>
          </w:p>
        </w:tc>
        <w:tc>
          <w:tcPr>
            <w:tcW w:w="3587"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复检项目</w:t>
            </w:r>
          </w:p>
        </w:tc>
        <w:tc>
          <w:tcPr>
            <w:tcW w:w="1328" w:type="dxa"/>
            <w:vAlign w:val="center"/>
          </w:tcPr>
          <w:p>
            <w:pPr>
              <w:widowControl/>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公证检验结果</w:t>
            </w:r>
          </w:p>
        </w:tc>
        <w:tc>
          <w:tcPr>
            <w:tcW w:w="1084" w:type="dxa"/>
            <w:vAlign w:val="center"/>
          </w:tcPr>
          <w:p>
            <w:pPr>
              <w:widowControl/>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55"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995" w:type="dxa"/>
            <w:vAlign w:val="center"/>
          </w:tcPr>
          <w:p>
            <w:pPr>
              <w:spacing w:line="380" w:lineRule="exact"/>
              <w:jc w:val="center"/>
              <w:rPr>
                <w:rFonts w:ascii="仿宋_GB2312" w:hAnsi="仿宋_GB2312" w:eastAsia="仿宋_GB2312" w:cs="仿宋_GB2312"/>
                <w:color w:val="000000"/>
                <w:sz w:val="32"/>
                <w:szCs w:val="32"/>
              </w:rPr>
            </w:pPr>
          </w:p>
        </w:tc>
        <w:tc>
          <w:tcPr>
            <w:tcW w:w="1634" w:type="dxa"/>
            <w:vAlign w:val="center"/>
          </w:tcPr>
          <w:p>
            <w:pPr>
              <w:spacing w:line="380" w:lineRule="exact"/>
              <w:jc w:val="center"/>
              <w:rPr>
                <w:rFonts w:ascii="仿宋_GB2312" w:hAnsi="仿宋_GB2312" w:eastAsia="仿宋_GB2312" w:cs="仿宋_GB2312"/>
                <w:color w:val="000000"/>
                <w:sz w:val="32"/>
                <w:szCs w:val="32"/>
              </w:rPr>
            </w:pPr>
          </w:p>
        </w:tc>
        <w:tc>
          <w:tcPr>
            <w:tcW w:w="1548" w:type="dxa"/>
            <w:vAlign w:val="center"/>
          </w:tcPr>
          <w:p>
            <w:pPr>
              <w:spacing w:line="380" w:lineRule="exact"/>
              <w:jc w:val="center"/>
              <w:rPr>
                <w:rFonts w:ascii="仿宋_GB2312" w:hAnsi="仿宋_GB2312" w:eastAsia="仿宋_GB2312" w:cs="仿宋_GB2312"/>
                <w:color w:val="000000"/>
                <w:sz w:val="32"/>
                <w:szCs w:val="32"/>
              </w:rPr>
            </w:pPr>
          </w:p>
        </w:tc>
        <w:tc>
          <w:tcPr>
            <w:tcW w:w="1859" w:type="dxa"/>
            <w:vAlign w:val="center"/>
          </w:tcPr>
          <w:p>
            <w:pPr>
              <w:spacing w:line="3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□入库□出库</w:t>
            </w:r>
          </w:p>
        </w:tc>
        <w:tc>
          <w:tcPr>
            <w:tcW w:w="3587" w:type="dxa"/>
            <w:vAlign w:val="center"/>
          </w:tcPr>
          <w:p>
            <w:pPr>
              <w:spacing w:line="3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□颜色级 □长度□马克隆值</w:t>
            </w:r>
          </w:p>
        </w:tc>
        <w:tc>
          <w:tcPr>
            <w:tcW w:w="1328" w:type="dxa"/>
            <w:vAlign w:val="center"/>
          </w:tcPr>
          <w:p>
            <w:pPr>
              <w:spacing w:line="380" w:lineRule="exact"/>
              <w:jc w:val="center"/>
              <w:rPr>
                <w:rFonts w:ascii="仿宋_GB2312" w:hAnsi="仿宋_GB2312" w:eastAsia="仿宋_GB2312" w:cs="仿宋_GB2312"/>
                <w:color w:val="000000"/>
                <w:sz w:val="32"/>
                <w:szCs w:val="32"/>
              </w:rPr>
            </w:pPr>
          </w:p>
        </w:tc>
        <w:tc>
          <w:tcPr>
            <w:tcW w:w="1084" w:type="dxa"/>
            <w:vAlign w:val="center"/>
          </w:tcPr>
          <w:p>
            <w:pPr>
              <w:spacing w:line="38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55"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p>
        </w:tc>
        <w:tc>
          <w:tcPr>
            <w:tcW w:w="995" w:type="dxa"/>
            <w:vAlign w:val="center"/>
          </w:tcPr>
          <w:p>
            <w:pPr>
              <w:spacing w:line="380" w:lineRule="exact"/>
              <w:jc w:val="center"/>
              <w:rPr>
                <w:rFonts w:ascii="仿宋_GB2312" w:hAnsi="仿宋_GB2312" w:eastAsia="仿宋_GB2312" w:cs="仿宋_GB2312"/>
                <w:color w:val="000000"/>
                <w:sz w:val="32"/>
                <w:szCs w:val="32"/>
              </w:rPr>
            </w:pPr>
          </w:p>
        </w:tc>
        <w:tc>
          <w:tcPr>
            <w:tcW w:w="1634" w:type="dxa"/>
            <w:vAlign w:val="center"/>
          </w:tcPr>
          <w:p>
            <w:pPr>
              <w:spacing w:line="380" w:lineRule="exact"/>
              <w:jc w:val="center"/>
              <w:rPr>
                <w:rFonts w:ascii="仿宋_GB2312" w:hAnsi="仿宋_GB2312" w:eastAsia="仿宋_GB2312" w:cs="仿宋_GB2312"/>
                <w:color w:val="000000"/>
                <w:sz w:val="32"/>
                <w:szCs w:val="32"/>
              </w:rPr>
            </w:pPr>
          </w:p>
        </w:tc>
        <w:tc>
          <w:tcPr>
            <w:tcW w:w="1548" w:type="dxa"/>
            <w:vAlign w:val="center"/>
          </w:tcPr>
          <w:p>
            <w:pPr>
              <w:spacing w:line="380" w:lineRule="exact"/>
              <w:jc w:val="center"/>
              <w:rPr>
                <w:rFonts w:ascii="仿宋_GB2312" w:hAnsi="仿宋_GB2312" w:eastAsia="仿宋_GB2312" w:cs="仿宋_GB2312"/>
                <w:color w:val="000000"/>
                <w:sz w:val="32"/>
                <w:szCs w:val="32"/>
              </w:rPr>
            </w:pPr>
          </w:p>
        </w:tc>
        <w:tc>
          <w:tcPr>
            <w:tcW w:w="1859" w:type="dxa"/>
            <w:vAlign w:val="center"/>
          </w:tcPr>
          <w:p>
            <w:pPr>
              <w:spacing w:line="3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□入库□出库</w:t>
            </w:r>
          </w:p>
        </w:tc>
        <w:tc>
          <w:tcPr>
            <w:tcW w:w="3587" w:type="dxa"/>
            <w:vAlign w:val="center"/>
          </w:tcPr>
          <w:p>
            <w:pPr>
              <w:spacing w:line="3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□颜色级 □长度□马克隆值</w:t>
            </w:r>
          </w:p>
        </w:tc>
        <w:tc>
          <w:tcPr>
            <w:tcW w:w="1328" w:type="dxa"/>
            <w:vAlign w:val="center"/>
          </w:tcPr>
          <w:p>
            <w:pPr>
              <w:spacing w:line="380" w:lineRule="exact"/>
              <w:jc w:val="center"/>
              <w:rPr>
                <w:rFonts w:ascii="仿宋_GB2312" w:hAnsi="仿宋_GB2312" w:eastAsia="仿宋_GB2312" w:cs="仿宋_GB2312"/>
                <w:color w:val="000000"/>
                <w:sz w:val="32"/>
                <w:szCs w:val="32"/>
              </w:rPr>
            </w:pPr>
          </w:p>
        </w:tc>
        <w:tc>
          <w:tcPr>
            <w:tcW w:w="1084" w:type="dxa"/>
            <w:vAlign w:val="center"/>
          </w:tcPr>
          <w:p>
            <w:pPr>
              <w:spacing w:line="38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55"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p>
        </w:tc>
        <w:tc>
          <w:tcPr>
            <w:tcW w:w="995" w:type="dxa"/>
            <w:vAlign w:val="center"/>
          </w:tcPr>
          <w:p>
            <w:pPr>
              <w:spacing w:line="380" w:lineRule="exact"/>
              <w:jc w:val="center"/>
              <w:rPr>
                <w:rFonts w:ascii="仿宋_GB2312" w:hAnsi="仿宋_GB2312" w:eastAsia="仿宋_GB2312" w:cs="仿宋_GB2312"/>
                <w:color w:val="000000"/>
                <w:sz w:val="32"/>
                <w:szCs w:val="32"/>
              </w:rPr>
            </w:pPr>
          </w:p>
        </w:tc>
        <w:tc>
          <w:tcPr>
            <w:tcW w:w="1634" w:type="dxa"/>
            <w:vAlign w:val="center"/>
          </w:tcPr>
          <w:p>
            <w:pPr>
              <w:spacing w:line="380" w:lineRule="exact"/>
              <w:jc w:val="center"/>
              <w:rPr>
                <w:rFonts w:ascii="仿宋_GB2312" w:hAnsi="仿宋_GB2312" w:eastAsia="仿宋_GB2312" w:cs="仿宋_GB2312"/>
                <w:color w:val="000000"/>
                <w:sz w:val="32"/>
                <w:szCs w:val="32"/>
              </w:rPr>
            </w:pPr>
          </w:p>
        </w:tc>
        <w:tc>
          <w:tcPr>
            <w:tcW w:w="1548" w:type="dxa"/>
            <w:vAlign w:val="center"/>
          </w:tcPr>
          <w:p>
            <w:pPr>
              <w:spacing w:line="380" w:lineRule="exact"/>
              <w:jc w:val="center"/>
              <w:rPr>
                <w:rFonts w:ascii="仿宋_GB2312" w:hAnsi="仿宋_GB2312" w:eastAsia="仿宋_GB2312" w:cs="仿宋_GB2312"/>
                <w:color w:val="000000"/>
                <w:sz w:val="32"/>
                <w:szCs w:val="32"/>
              </w:rPr>
            </w:pPr>
          </w:p>
        </w:tc>
        <w:tc>
          <w:tcPr>
            <w:tcW w:w="1859" w:type="dxa"/>
            <w:vAlign w:val="center"/>
          </w:tcPr>
          <w:p>
            <w:pPr>
              <w:spacing w:line="3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□入库□出库</w:t>
            </w:r>
          </w:p>
        </w:tc>
        <w:tc>
          <w:tcPr>
            <w:tcW w:w="3587" w:type="dxa"/>
            <w:vAlign w:val="center"/>
          </w:tcPr>
          <w:p>
            <w:pPr>
              <w:spacing w:line="3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□颜色级 □长度□马克隆值</w:t>
            </w:r>
          </w:p>
        </w:tc>
        <w:tc>
          <w:tcPr>
            <w:tcW w:w="1328" w:type="dxa"/>
            <w:vAlign w:val="center"/>
          </w:tcPr>
          <w:p>
            <w:pPr>
              <w:spacing w:line="380" w:lineRule="exact"/>
              <w:jc w:val="center"/>
              <w:rPr>
                <w:rFonts w:ascii="仿宋_GB2312" w:hAnsi="仿宋_GB2312" w:eastAsia="仿宋_GB2312" w:cs="仿宋_GB2312"/>
                <w:color w:val="000000"/>
                <w:sz w:val="32"/>
                <w:szCs w:val="32"/>
              </w:rPr>
            </w:pPr>
          </w:p>
        </w:tc>
        <w:tc>
          <w:tcPr>
            <w:tcW w:w="1084" w:type="dxa"/>
            <w:vAlign w:val="center"/>
          </w:tcPr>
          <w:p>
            <w:pPr>
              <w:spacing w:line="38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55"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p>
        </w:tc>
        <w:tc>
          <w:tcPr>
            <w:tcW w:w="995" w:type="dxa"/>
            <w:vAlign w:val="center"/>
          </w:tcPr>
          <w:p>
            <w:pPr>
              <w:spacing w:line="380" w:lineRule="exact"/>
              <w:jc w:val="center"/>
              <w:rPr>
                <w:rFonts w:ascii="仿宋_GB2312" w:hAnsi="仿宋_GB2312" w:eastAsia="仿宋_GB2312" w:cs="仿宋_GB2312"/>
                <w:color w:val="000000"/>
                <w:sz w:val="32"/>
                <w:szCs w:val="32"/>
              </w:rPr>
            </w:pPr>
          </w:p>
        </w:tc>
        <w:tc>
          <w:tcPr>
            <w:tcW w:w="1634" w:type="dxa"/>
            <w:vAlign w:val="center"/>
          </w:tcPr>
          <w:p>
            <w:pPr>
              <w:spacing w:line="380" w:lineRule="exact"/>
              <w:jc w:val="center"/>
              <w:rPr>
                <w:rFonts w:ascii="仿宋_GB2312" w:hAnsi="仿宋_GB2312" w:eastAsia="仿宋_GB2312" w:cs="仿宋_GB2312"/>
                <w:color w:val="000000"/>
                <w:sz w:val="32"/>
                <w:szCs w:val="32"/>
              </w:rPr>
            </w:pPr>
          </w:p>
        </w:tc>
        <w:tc>
          <w:tcPr>
            <w:tcW w:w="1548" w:type="dxa"/>
            <w:vAlign w:val="center"/>
          </w:tcPr>
          <w:p>
            <w:pPr>
              <w:spacing w:line="380" w:lineRule="exact"/>
              <w:jc w:val="center"/>
              <w:rPr>
                <w:rFonts w:ascii="仿宋_GB2312" w:hAnsi="仿宋_GB2312" w:eastAsia="仿宋_GB2312" w:cs="仿宋_GB2312"/>
                <w:color w:val="000000"/>
                <w:sz w:val="32"/>
                <w:szCs w:val="32"/>
              </w:rPr>
            </w:pPr>
          </w:p>
        </w:tc>
        <w:tc>
          <w:tcPr>
            <w:tcW w:w="1859" w:type="dxa"/>
            <w:vAlign w:val="center"/>
          </w:tcPr>
          <w:p>
            <w:pPr>
              <w:spacing w:line="3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□入库□出库</w:t>
            </w:r>
          </w:p>
        </w:tc>
        <w:tc>
          <w:tcPr>
            <w:tcW w:w="3587" w:type="dxa"/>
            <w:vAlign w:val="center"/>
          </w:tcPr>
          <w:p>
            <w:pPr>
              <w:spacing w:line="38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□颜色级 □长度□马克隆值</w:t>
            </w:r>
          </w:p>
        </w:tc>
        <w:tc>
          <w:tcPr>
            <w:tcW w:w="1328" w:type="dxa"/>
            <w:vAlign w:val="center"/>
          </w:tcPr>
          <w:p>
            <w:pPr>
              <w:spacing w:line="380" w:lineRule="exact"/>
              <w:jc w:val="center"/>
              <w:rPr>
                <w:rFonts w:ascii="仿宋_GB2312" w:hAnsi="仿宋_GB2312" w:eastAsia="仿宋_GB2312" w:cs="仿宋_GB2312"/>
                <w:color w:val="000000"/>
                <w:sz w:val="32"/>
                <w:szCs w:val="32"/>
              </w:rPr>
            </w:pPr>
          </w:p>
        </w:tc>
        <w:tc>
          <w:tcPr>
            <w:tcW w:w="1084" w:type="dxa"/>
            <w:vAlign w:val="center"/>
          </w:tcPr>
          <w:p>
            <w:pPr>
              <w:spacing w:line="380" w:lineRule="exact"/>
              <w:jc w:val="center"/>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55" w:type="dxa"/>
            <w:vAlign w:val="center"/>
          </w:tcPr>
          <w:p>
            <w:pPr>
              <w:spacing w:line="38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备注</w:t>
            </w:r>
          </w:p>
        </w:tc>
        <w:tc>
          <w:tcPr>
            <w:tcW w:w="12035" w:type="dxa"/>
            <w:gridSpan w:val="7"/>
            <w:vAlign w:val="center"/>
          </w:tcPr>
          <w:p>
            <w:pPr>
              <w:spacing w:line="380" w:lineRule="exact"/>
              <w:jc w:val="center"/>
              <w:rPr>
                <w:rFonts w:ascii="仿宋_GB2312" w:hAnsi="仿宋_GB2312" w:eastAsia="仿宋_GB2312" w:cs="仿宋_GB2312"/>
                <w:color w:val="000000"/>
                <w:sz w:val="32"/>
                <w:szCs w:val="32"/>
              </w:rPr>
            </w:pPr>
          </w:p>
        </w:tc>
      </w:tr>
    </w:tbl>
    <w:p>
      <w:pPr>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注：入库复检申请单位须将本单位验货时采用的何种方式、检测设备、验收人员资质条件及验收过程填在表格“备注”栏一同提交郑州商品交易所。</w:t>
      </w:r>
    </w:p>
    <w:p>
      <w:pPr>
        <w:spacing w:line="38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郑州商品交易所意见（公章）：                                         日期： 年  月  日</w:t>
      </w:r>
    </w:p>
    <w:sectPr>
      <w:pgSz w:w="16838" w:h="11905" w:orient="landscape"/>
      <w:pgMar w:top="1474" w:right="2041" w:bottom="1587" w:left="1587" w:header="851" w:footer="1134" w:gutter="0"/>
      <w:cols w:space="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5615305</wp:posOffset>
              </wp:positionH>
              <wp:positionV relativeFrom="paragraph">
                <wp:posOffset>3175</wp:posOffset>
              </wp:positionV>
              <wp:extent cx="185420" cy="1828800"/>
              <wp:effectExtent l="0" t="0" r="5715" b="0"/>
              <wp:wrapNone/>
              <wp:docPr id="2" name="文本框 2"/>
              <wp:cNvGraphicFramePr/>
              <a:graphic xmlns:a="http://schemas.openxmlformats.org/drawingml/2006/main">
                <a:graphicData uri="http://schemas.microsoft.com/office/word/2010/wordprocessingShape">
                  <wps:wsp>
                    <wps:cNvSpPr txBox="1"/>
                    <wps:spPr>
                      <a:xfrm flipH="1">
                        <a:off x="0" y="0"/>
                        <a:ext cx="185396"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flip:x;margin-left:442.15pt;margin-top:0.25pt;height:144pt;width:14.6pt;mso-position-horizontal-relative:margin;z-index:251660288;mso-width-relative:page;mso-height-relative:page;" filled="f" stroked="f" coordsize="21600,21600" o:gfxdata="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9xphNgAAAAIAQAADwAAAAAAAAABACAAAAAiAAAAZHJzL2Rvd25y&#10;ZXYueG1sUEsBAhQAFAAAAAgAh07iQGH7j383AgAAYAQAAA4AAAAAAAAAAQAgAAAAJwEAAGRycy9l&#10;Mm9Eb2MueG1sUEsFBgAAAAAGAAYAWQEAANA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E7CB4"/>
    <w:multiLevelType w:val="singleLevel"/>
    <w:tmpl w:val="283E7CB4"/>
    <w:lvl w:ilvl="0" w:tentative="0">
      <w:start w:val="1"/>
      <w:numFmt w:val="chineseCounting"/>
      <w:suff w:val="space"/>
      <w:lvlText w:val="第%1章"/>
      <w:lvlJc w:val="left"/>
      <w:rPr>
        <w:rFonts w:hint="eastAsia" w:ascii="黑体" w:hAnsi="黑体" w:eastAsia="黑体" w:cs="黑体"/>
      </w:rPr>
    </w:lvl>
  </w:abstractNum>
  <w:abstractNum w:abstractNumId="1">
    <w:nsid w:val="367311C8"/>
    <w:multiLevelType w:val="singleLevel"/>
    <w:tmpl w:val="367311C8"/>
    <w:lvl w:ilvl="0" w:tentative="0">
      <w:start w:val="1"/>
      <w:numFmt w:val="chineseCounting"/>
      <w:suff w:val="nothing"/>
      <w:lvlText w:val="（%1）"/>
      <w:lvlJc w:val="left"/>
      <w:rPr>
        <w:rFonts w:hint="eastAsia"/>
      </w:rPr>
    </w:lvl>
  </w:abstractNum>
  <w:abstractNum w:abstractNumId="2">
    <w:nsid w:val="3F112B12"/>
    <w:multiLevelType w:val="multilevel"/>
    <w:tmpl w:val="3F112B12"/>
    <w:lvl w:ilvl="0" w:tentative="0">
      <w:start w:val="1"/>
      <w:numFmt w:val="japaneseCounting"/>
      <w:lvlText w:val="第%1条"/>
      <w:lvlJc w:val="left"/>
      <w:pPr>
        <w:ind w:left="2575" w:hanging="1935"/>
      </w:pPr>
      <w:rPr>
        <w:rFonts w:hint="eastAsia" w:ascii="黑体" w:hAnsi="黑体" w:eastAsia="黑体" w:cs="黑体"/>
        <w:b w:val="0"/>
        <w:bCs/>
        <w:i w:val="0"/>
        <w:strike w:val="0"/>
        <w:dstrike w:val="0"/>
        <w:sz w:val="30"/>
        <w:szCs w:val="3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57AEDF2"/>
    <w:multiLevelType w:val="singleLevel"/>
    <w:tmpl w:val="657AEDF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7946"/>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jIzZmM1YTgxOGRkYzA3ZTdkY2E2MmM3NGIwMWQifQ=="/>
  </w:docVars>
  <w:rsids>
    <w:rsidRoot w:val="00F124D8"/>
    <w:rsid w:val="00096229"/>
    <w:rsid w:val="00146A20"/>
    <w:rsid w:val="00246DED"/>
    <w:rsid w:val="00265A3D"/>
    <w:rsid w:val="00315CCF"/>
    <w:rsid w:val="003A0B4C"/>
    <w:rsid w:val="00415C41"/>
    <w:rsid w:val="004C3975"/>
    <w:rsid w:val="006A2095"/>
    <w:rsid w:val="006D3FC3"/>
    <w:rsid w:val="0071270F"/>
    <w:rsid w:val="00816AE4"/>
    <w:rsid w:val="00A331CA"/>
    <w:rsid w:val="00A33BBF"/>
    <w:rsid w:val="00AC2EB4"/>
    <w:rsid w:val="00C659D0"/>
    <w:rsid w:val="00CD0B82"/>
    <w:rsid w:val="00CD662C"/>
    <w:rsid w:val="00EF3D7D"/>
    <w:rsid w:val="00F124D8"/>
    <w:rsid w:val="01E07114"/>
    <w:rsid w:val="02E73713"/>
    <w:rsid w:val="06C2161E"/>
    <w:rsid w:val="08EF4D98"/>
    <w:rsid w:val="093F0D49"/>
    <w:rsid w:val="0BDB326C"/>
    <w:rsid w:val="0D051E9D"/>
    <w:rsid w:val="0E4E5C19"/>
    <w:rsid w:val="0E636D1A"/>
    <w:rsid w:val="0F471F7B"/>
    <w:rsid w:val="0FA66C56"/>
    <w:rsid w:val="0FA95F0F"/>
    <w:rsid w:val="0FB46708"/>
    <w:rsid w:val="103670BF"/>
    <w:rsid w:val="118B16AA"/>
    <w:rsid w:val="11D2037F"/>
    <w:rsid w:val="14DF478F"/>
    <w:rsid w:val="150C1318"/>
    <w:rsid w:val="16BA534F"/>
    <w:rsid w:val="1857464D"/>
    <w:rsid w:val="194566C7"/>
    <w:rsid w:val="1A672652"/>
    <w:rsid w:val="1A914466"/>
    <w:rsid w:val="1D0737F7"/>
    <w:rsid w:val="1D3E50C1"/>
    <w:rsid w:val="1F9A4D11"/>
    <w:rsid w:val="20D80937"/>
    <w:rsid w:val="21163B2C"/>
    <w:rsid w:val="21A813D4"/>
    <w:rsid w:val="21AB14BA"/>
    <w:rsid w:val="24124D59"/>
    <w:rsid w:val="24A7603F"/>
    <w:rsid w:val="2508721E"/>
    <w:rsid w:val="25216D96"/>
    <w:rsid w:val="25BD7806"/>
    <w:rsid w:val="25C4733B"/>
    <w:rsid w:val="26296445"/>
    <w:rsid w:val="27C46D3F"/>
    <w:rsid w:val="29167492"/>
    <w:rsid w:val="299702BE"/>
    <w:rsid w:val="2A012B63"/>
    <w:rsid w:val="2B374DE1"/>
    <w:rsid w:val="2B8701EC"/>
    <w:rsid w:val="2C886B69"/>
    <w:rsid w:val="2CBD0996"/>
    <w:rsid w:val="2F0C5CB1"/>
    <w:rsid w:val="2FB60014"/>
    <w:rsid w:val="309A4933"/>
    <w:rsid w:val="31B45EC9"/>
    <w:rsid w:val="32354CEF"/>
    <w:rsid w:val="33723946"/>
    <w:rsid w:val="34117AE9"/>
    <w:rsid w:val="34D22ECA"/>
    <w:rsid w:val="350607E9"/>
    <w:rsid w:val="381C1FFD"/>
    <w:rsid w:val="3AFB4D28"/>
    <w:rsid w:val="3B0C59F9"/>
    <w:rsid w:val="3B967361"/>
    <w:rsid w:val="3E301E1F"/>
    <w:rsid w:val="3E5C54E0"/>
    <w:rsid w:val="40554203"/>
    <w:rsid w:val="40D60147"/>
    <w:rsid w:val="41AA69A0"/>
    <w:rsid w:val="42202948"/>
    <w:rsid w:val="43D45F57"/>
    <w:rsid w:val="44F31BC4"/>
    <w:rsid w:val="45C23D4C"/>
    <w:rsid w:val="47CC1FE7"/>
    <w:rsid w:val="481D06E0"/>
    <w:rsid w:val="48693111"/>
    <w:rsid w:val="489B7043"/>
    <w:rsid w:val="48CA2035"/>
    <w:rsid w:val="49CD2708"/>
    <w:rsid w:val="4A3E5FEB"/>
    <w:rsid w:val="4AA30C4D"/>
    <w:rsid w:val="4AA93C99"/>
    <w:rsid w:val="4BF51144"/>
    <w:rsid w:val="4D5C3055"/>
    <w:rsid w:val="4DB76F09"/>
    <w:rsid w:val="4DFA62AE"/>
    <w:rsid w:val="4F576CBD"/>
    <w:rsid w:val="501E2A33"/>
    <w:rsid w:val="50323292"/>
    <w:rsid w:val="50882C6D"/>
    <w:rsid w:val="50A52056"/>
    <w:rsid w:val="50EB4502"/>
    <w:rsid w:val="514E441C"/>
    <w:rsid w:val="515D3B96"/>
    <w:rsid w:val="52AC5738"/>
    <w:rsid w:val="53C610C1"/>
    <w:rsid w:val="5462626D"/>
    <w:rsid w:val="556A660F"/>
    <w:rsid w:val="556D1D67"/>
    <w:rsid w:val="56DA4D59"/>
    <w:rsid w:val="57881F71"/>
    <w:rsid w:val="57A8793C"/>
    <w:rsid w:val="58973E85"/>
    <w:rsid w:val="598537F3"/>
    <w:rsid w:val="5A2055FA"/>
    <w:rsid w:val="5A880A40"/>
    <w:rsid w:val="5AD05272"/>
    <w:rsid w:val="5B5437AD"/>
    <w:rsid w:val="5C163C24"/>
    <w:rsid w:val="5CF36FF6"/>
    <w:rsid w:val="5CFC7F00"/>
    <w:rsid w:val="5DF73B3D"/>
    <w:rsid w:val="5E5E71FE"/>
    <w:rsid w:val="5E840C77"/>
    <w:rsid w:val="5F4D6DAF"/>
    <w:rsid w:val="6123742C"/>
    <w:rsid w:val="61F638FE"/>
    <w:rsid w:val="62E54227"/>
    <w:rsid w:val="6320666B"/>
    <w:rsid w:val="63660222"/>
    <w:rsid w:val="64583467"/>
    <w:rsid w:val="65E73470"/>
    <w:rsid w:val="66653DD8"/>
    <w:rsid w:val="6694184A"/>
    <w:rsid w:val="669C425A"/>
    <w:rsid w:val="66D201EC"/>
    <w:rsid w:val="67FF5847"/>
    <w:rsid w:val="687A07E4"/>
    <w:rsid w:val="690C1009"/>
    <w:rsid w:val="69193216"/>
    <w:rsid w:val="69EE2809"/>
    <w:rsid w:val="69FA19E3"/>
    <w:rsid w:val="6A933D40"/>
    <w:rsid w:val="6C6B7C0A"/>
    <w:rsid w:val="6C754489"/>
    <w:rsid w:val="6CDB731B"/>
    <w:rsid w:val="6F610613"/>
    <w:rsid w:val="6F724BCB"/>
    <w:rsid w:val="723D542B"/>
    <w:rsid w:val="72930B98"/>
    <w:rsid w:val="74DE2890"/>
    <w:rsid w:val="76A56FC5"/>
    <w:rsid w:val="79610057"/>
    <w:rsid w:val="79933C8C"/>
    <w:rsid w:val="7A42120D"/>
    <w:rsid w:val="7B876E2F"/>
    <w:rsid w:val="7BC65F47"/>
    <w:rsid w:val="7C2265AE"/>
    <w:rsid w:val="7CDA3CB4"/>
    <w:rsid w:val="7D97125D"/>
    <w:rsid w:val="7E755DEC"/>
    <w:rsid w:val="7FA0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semiHidden/>
    <w:unhideWhenUsed/>
    <w:qFormat/>
    <w:uiPriority w:val="99"/>
    <w:pPr>
      <w:jc w:val="left"/>
    </w:pPr>
  </w:style>
  <w:style w:type="paragraph" w:styleId="5">
    <w:name w:val="Balloon Text"/>
    <w:basedOn w:val="1"/>
    <w:link w:val="16"/>
    <w:autoRedefine/>
    <w:semiHidden/>
    <w:unhideWhenUsed/>
    <w:qFormat/>
    <w:uiPriority w:val="99"/>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5"/>
    <w:autoRedefine/>
    <w:semiHidden/>
    <w:unhideWhenUsed/>
    <w:qFormat/>
    <w:uiPriority w:val="99"/>
    <w:rPr>
      <w:b/>
      <w:bCs/>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paragraph" w:styleId="13">
    <w:name w:val="List Paragraph"/>
    <w:basedOn w:val="1"/>
    <w:autoRedefine/>
    <w:qFormat/>
    <w:uiPriority w:val="34"/>
    <w:pPr>
      <w:ind w:firstLine="420" w:firstLineChars="200"/>
    </w:pPr>
  </w:style>
  <w:style w:type="character" w:customStyle="1" w:styleId="14">
    <w:name w:val="批注文字 字符"/>
    <w:basedOn w:val="11"/>
    <w:link w:val="4"/>
    <w:autoRedefine/>
    <w:semiHidden/>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8"/>
    <w:autoRedefine/>
    <w:semiHidden/>
    <w:qFormat/>
    <w:uiPriority w:val="99"/>
    <w:rPr>
      <w:rFonts w:asciiTheme="minorHAnsi" w:hAnsiTheme="minorHAnsi" w:eastAsiaTheme="minorEastAsia" w:cstheme="minorBidi"/>
      <w:b/>
      <w:bCs/>
      <w:kern w:val="2"/>
      <w:sz w:val="21"/>
      <w:szCs w:val="22"/>
    </w:rPr>
  </w:style>
  <w:style w:type="character" w:customStyle="1" w:styleId="16">
    <w:name w:val="批注框文本 字符"/>
    <w:basedOn w:val="11"/>
    <w:link w:val="5"/>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4B3D0-5A96-4923-AD89-DBAAEAC7A5B4}">
  <ds:schemaRefs/>
</ds:datastoreItem>
</file>

<file path=docProps/app.xml><?xml version="1.0" encoding="utf-8"?>
<Properties xmlns="http://schemas.openxmlformats.org/officeDocument/2006/extended-properties" xmlns:vt="http://schemas.openxmlformats.org/officeDocument/2006/docPropsVTypes">
  <Template>Normal</Template>
  <Pages>20</Pages>
  <Words>1098</Words>
  <Characters>6265</Characters>
  <Lines>52</Lines>
  <Paragraphs>14</Paragraphs>
  <TotalTime>0</TotalTime>
  <ScaleCrop>false</ScaleCrop>
  <LinksUpToDate>false</LinksUpToDate>
  <CharactersWithSpaces>7349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2021-11-03T06:04:00Z</dcterms:created>
  <dc:creator>d</dc:creator>
  <cp:lastModifiedBy>WU</cp:lastModifiedBy>
  <dcterms:modified xsi:type="dcterms:W3CDTF">2024-03-28T02:36:13Z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ED81819779114FF3B2DA8578B63CB46D</vt:lpwstr>
  </property>
</Properties>
</file>