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52"/>
        </w:rPr>
      </w:pPr>
      <w:r>
        <w:rPr>
          <w:rFonts w:hint="eastAsia" w:ascii="方正小标宋简体" w:eastAsia="方正小标宋简体"/>
          <w:sz w:val="52"/>
        </w:rPr>
        <w:t>中国棉花质量分析报告</w:t>
      </w:r>
    </w:p>
    <w:p>
      <w:pPr>
        <w:jc w:val="center"/>
        <w:rPr>
          <w:rFonts w:ascii="方正小标宋简体" w:eastAsia="方正小标宋简体"/>
          <w:sz w:val="44"/>
        </w:rPr>
      </w:pPr>
      <w:r>
        <w:rPr>
          <w:rFonts w:hint="eastAsia" w:ascii="方正小标宋简体" w:eastAsia="方正小标宋简体"/>
          <w:sz w:val="44"/>
        </w:rPr>
        <w:t>（2017/2018年度）</w:t>
      </w: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44"/>
        </w:rPr>
      </w:pPr>
    </w:p>
    <w:p>
      <w:pPr>
        <w:jc w:val="center"/>
        <w:rPr>
          <w:rFonts w:ascii="方正小标宋简体" w:eastAsia="方正小标宋简体"/>
          <w:sz w:val="32"/>
          <w:szCs w:val="32"/>
        </w:rPr>
      </w:pPr>
      <w:r>
        <w:rPr>
          <w:rFonts w:hint="eastAsia" w:ascii="方正小标宋简体" w:eastAsia="方正小标宋简体"/>
          <w:sz w:val="32"/>
          <w:szCs w:val="32"/>
        </w:rPr>
        <w:t>中国纤维检验局</w:t>
      </w:r>
    </w:p>
    <w:p>
      <w:pPr>
        <w:jc w:val="center"/>
        <w:rPr>
          <w:rFonts w:ascii="方正小标宋简体" w:eastAsia="方正小标宋简体"/>
          <w:sz w:val="32"/>
          <w:szCs w:val="32"/>
        </w:rPr>
      </w:pPr>
      <w:r>
        <w:rPr>
          <w:rFonts w:hint="eastAsia" w:ascii="方正小标宋简体" w:eastAsia="方正小标宋简体"/>
          <w:sz w:val="32"/>
          <w:szCs w:val="32"/>
        </w:rPr>
        <w:t>二</w:t>
      </w:r>
      <w:r>
        <w:rPr>
          <w:rFonts w:hint="eastAsia" w:ascii="宋体" w:hAnsi="宋体" w:cs="宋体"/>
          <w:sz w:val="32"/>
          <w:szCs w:val="32"/>
        </w:rPr>
        <w:t>〇</w:t>
      </w:r>
      <w:r>
        <w:rPr>
          <w:rFonts w:hint="eastAsia" w:ascii="方正小标宋简体" w:eastAsia="方正小标宋简体"/>
          <w:sz w:val="32"/>
          <w:szCs w:val="32"/>
        </w:rPr>
        <w:t>一八年十</w:t>
      </w:r>
      <w:r>
        <w:rPr>
          <w:rFonts w:hint="eastAsia" w:ascii="方正小标宋简体" w:eastAsia="方正小标宋简体"/>
          <w:sz w:val="32"/>
          <w:szCs w:val="32"/>
          <w:lang w:eastAsia="zh-CN"/>
        </w:rPr>
        <w:t>一</w:t>
      </w:r>
      <w:r>
        <w:rPr>
          <w:rFonts w:hint="eastAsia" w:ascii="方正小标宋简体" w:eastAsia="方正小标宋简体"/>
          <w:sz w:val="32"/>
          <w:szCs w:val="32"/>
        </w:rPr>
        <w:t>月</w:t>
      </w:r>
    </w:p>
    <w:p>
      <w:pPr>
        <w:widowControl/>
        <w:jc w:val="left"/>
        <w:rPr>
          <w:rFonts w:ascii="方正小标宋简体" w:eastAsia="方正小标宋简体"/>
          <w:sz w:val="44"/>
        </w:rPr>
      </w:pPr>
      <w:r>
        <w:rPr>
          <w:rFonts w:ascii="方正小标宋简体" w:eastAsia="方正小标宋简体"/>
          <w:sz w:val="44"/>
        </w:rPr>
        <w:br w:type="page"/>
      </w:r>
    </w:p>
    <w:sdt>
      <w:sdtPr>
        <w:rPr>
          <w:rFonts w:ascii="Times New Roman" w:hAnsi="Times New Roman" w:eastAsia="宋体" w:cs="Times New Roman"/>
          <w:b w:val="0"/>
          <w:bCs w:val="0"/>
          <w:color w:val="auto"/>
          <w:kern w:val="2"/>
          <w:sz w:val="21"/>
          <w:szCs w:val="24"/>
          <w:lang w:val="zh-CN"/>
        </w:rPr>
        <w:id w:val="966861305"/>
      </w:sdtPr>
      <w:sdtEndPr>
        <w:rPr>
          <w:rFonts w:hint="eastAsia" w:ascii="仿宋_GB2312" w:hAnsi="Times New Roman" w:eastAsia="仿宋_GB2312" w:cs="Times New Roman"/>
          <w:b w:val="0"/>
          <w:bCs w:val="0"/>
          <w:color w:val="auto"/>
          <w:kern w:val="2"/>
          <w:sz w:val="21"/>
          <w:szCs w:val="24"/>
          <w:lang w:val="zh-CN"/>
        </w:rPr>
      </w:sdtEndPr>
      <w:sdtContent>
        <w:p>
          <w:pPr>
            <w:pStyle w:val="22"/>
            <w:spacing w:before="0" w:line="540" w:lineRule="exact"/>
            <w:ind w:firstLine="0" w:firstLineChars="0"/>
            <w:jc w:val="center"/>
            <w:rPr>
              <w:rFonts w:hint="eastAsia" w:ascii="方正小标宋简体" w:eastAsia="方正小标宋简体"/>
              <w:b w:val="0"/>
              <w:color w:val="auto"/>
              <w:sz w:val="44"/>
              <w:szCs w:val="44"/>
              <w:lang w:val="zh-CN"/>
            </w:rPr>
          </w:pPr>
          <w:r>
            <w:rPr>
              <w:rFonts w:hint="eastAsia" w:ascii="方正小标宋简体" w:eastAsia="方正小标宋简体"/>
              <w:b w:val="0"/>
              <w:color w:val="auto"/>
              <w:sz w:val="44"/>
              <w:szCs w:val="44"/>
              <w:lang w:val="zh-CN"/>
            </w:rPr>
            <w:t>目  录</w:t>
          </w:r>
        </w:p>
        <w:p/>
        <w:p>
          <w:pPr>
            <w:pStyle w:val="7"/>
            <w:tabs>
              <w:tab w:val="right" w:leader="dot" w:pos="8845"/>
              <w:tab w:val="clear" w:pos="8296"/>
            </w:tabs>
            <w:rPr>
              <w:sz w:val="32"/>
              <w:szCs w:val="32"/>
            </w:rPr>
          </w:pPr>
          <w:r>
            <w:rPr>
              <w:rFonts w:hint="eastAsia" w:ascii="仿宋_GB2312" w:eastAsia="仿宋_GB2312" w:hAnsiTheme="minorEastAsia"/>
              <w:sz w:val="32"/>
              <w:szCs w:val="32"/>
            </w:rPr>
            <w:fldChar w:fldCharType="begin"/>
          </w:r>
          <w:r>
            <w:rPr>
              <w:rFonts w:hint="eastAsia" w:ascii="仿宋_GB2312" w:eastAsia="仿宋_GB2312" w:hAnsiTheme="minorEastAsia"/>
              <w:sz w:val="32"/>
              <w:szCs w:val="32"/>
            </w:rPr>
            <w:instrText xml:space="preserve"> TOC \o "1-3" \h \z \u </w:instrText>
          </w:r>
          <w:r>
            <w:rPr>
              <w:rFonts w:hint="eastAsia" w:ascii="仿宋_GB2312" w:eastAsia="仿宋_GB2312" w:hAnsiTheme="minorEastAsia"/>
              <w:sz w:val="32"/>
              <w:szCs w:val="32"/>
            </w:rPr>
            <w:fldChar w:fldCharType="separate"/>
          </w:r>
          <w:r>
            <w:rPr>
              <w:rFonts w:hint="eastAsia" w:ascii="仿宋_GB2312" w:eastAsia="仿宋_GB2312" w:hAnsiTheme="minorEastAsia"/>
              <w:sz w:val="32"/>
              <w:szCs w:val="32"/>
            </w:rPr>
            <w:fldChar w:fldCharType="begin"/>
          </w:r>
          <w:r>
            <w:rPr>
              <w:rFonts w:hint="eastAsia" w:ascii="仿宋_GB2312" w:eastAsia="仿宋_GB2312" w:hAnsiTheme="minorEastAsia"/>
              <w:sz w:val="32"/>
              <w:szCs w:val="32"/>
            </w:rPr>
            <w:instrText xml:space="preserve"> HYPERLINK \l _Toc16250 </w:instrText>
          </w:r>
          <w:r>
            <w:rPr>
              <w:rFonts w:hint="eastAsia" w:ascii="仿宋_GB2312" w:eastAsia="仿宋_GB2312" w:hAnsiTheme="minorEastAsia"/>
              <w:sz w:val="32"/>
              <w:szCs w:val="32"/>
            </w:rPr>
            <w:fldChar w:fldCharType="separate"/>
          </w:r>
          <w:r>
            <w:rPr>
              <w:rFonts w:hint="eastAsia" w:ascii="方正小标宋简体" w:eastAsia="方正小标宋简体" w:hAnsiTheme="minorEastAsia"/>
              <w:sz w:val="32"/>
              <w:szCs w:val="32"/>
            </w:rPr>
            <w:t>前  言</w:t>
          </w:r>
          <w:r>
            <w:rPr>
              <w:sz w:val="32"/>
              <w:szCs w:val="32"/>
            </w:rPr>
            <w:tab/>
          </w:r>
          <w:r>
            <w:rPr>
              <w:sz w:val="32"/>
              <w:szCs w:val="32"/>
            </w:rPr>
            <w:fldChar w:fldCharType="begin"/>
          </w:r>
          <w:r>
            <w:rPr>
              <w:sz w:val="32"/>
              <w:szCs w:val="32"/>
            </w:rPr>
            <w:instrText xml:space="preserve"> PAGEREF _Toc16250 </w:instrText>
          </w:r>
          <w:r>
            <w:rPr>
              <w:sz w:val="32"/>
              <w:szCs w:val="32"/>
            </w:rPr>
            <w:fldChar w:fldCharType="separate"/>
          </w:r>
          <w:r>
            <w:rPr>
              <w:sz w:val="32"/>
              <w:szCs w:val="32"/>
            </w:rPr>
            <w:t>1</w:t>
          </w:r>
          <w:r>
            <w:rPr>
              <w:sz w:val="32"/>
              <w:szCs w:val="32"/>
            </w:rPr>
            <w:fldChar w:fldCharType="end"/>
          </w:r>
          <w:r>
            <w:rPr>
              <w:rFonts w:hint="eastAsia" w:ascii="仿宋_GB2312" w:eastAsia="仿宋_GB2312" w:hAnsiTheme="minorEastAsia"/>
              <w:sz w:val="32"/>
              <w:szCs w:val="32"/>
            </w:rPr>
            <w:fldChar w:fldCharType="end"/>
          </w:r>
        </w:p>
        <w:p>
          <w:pPr>
            <w:pStyle w:val="7"/>
            <w:tabs>
              <w:tab w:val="right" w:leader="dot" w:pos="8845"/>
              <w:tab w:val="clear" w:pos="8296"/>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_Toc26638 </w:instrText>
          </w:r>
          <w:r>
            <w:rPr>
              <w:rFonts w:hint="eastAsia" w:ascii="仿宋_GB2312" w:eastAsia="仿宋_GB2312" w:hAnsiTheme="minorEastAsia"/>
              <w:bCs/>
              <w:sz w:val="32"/>
              <w:szCs w:val="32"/>
              <w:lang w:val="zh-CN"/>
            </w:rPr>
            <w:fldChar w:fldCharType="separate"/>
          </w:r>
          <w:r>
            <w:rPr>
              <w:rFonts w:hint="eastAsia" w:ascii="黑体" w:hAnsi="黑体" w:eastAsia="黑体"/>
              <w:sz w:val="32"/>
              <w:szCs w:val="32"/>
            </w:rPr>
            <w:t>一、数据来源</w:t>
          </w:r>
          <w:r>
            <w:rPr>
              <w:sz w:val="32"/>
              <w:szCs w:val="32"/>
            </w:rPr>
            <w:tab/>
          </w:r>
          <w:r>
            <w:rPr>
              <w:sz w:val="32"/>
              <w:szCs w:val="32"/>
            </w:rPr>
            <w:fldChar w:fldCharType="begin"/>
          </w:r>
          <w:r>
            <w:rPr>
              <w:sz w:val="32"/>
              <w:szCs w:val="32"/>
            </w:rPr>
            <w:instrText xml:space="preserve"> PAGEREF _Toc26638 </w:instrText>
          </w:r>
          <w:r>
            <w:rPr>
              <w:sz w:val="32"/>
              <w:szCs w:val="32"/>
            </w:rPr>
            <w:fldChar w:fldCharType="separate"/>
          </w:r>
          <w:r>
            <w:rPr>
              <w:sz w:val="32"/>
              <w:szCs w:val="32"/>
            </w:rPr>
            <w:t>2</w:t>
          </w:r>
          <w:r>
            <w:rPr>
              <w:sz w:val="32"/>
              <w:szCs w:val="32"/>
            </w:rPr>
            <w:fldChar w:fldCharType="end"/>
          </w:r>
          <w:r>
            <w:rPr>
              <w:rFonts w:hint="eastAsia" w:ascii="仿宋_GB2312" w:eastAsia="仿宋_GB2312" w:hAnsiTheme="minorEastAsia"/>
              <w:bCs/>
              <w:sz w:val="32"/>
              <w:szCs w:val="32"/>
              <w:lang w:val="zh-CN"/>
            </w:rPr>
            <w:fldChar w:fldCharType="end"/>
          </w:r>
        </w:p>
        <w:p>
          <w:pPr>
            <w:pStyle w:val="7"/>
            <w:tabs>
              <w:tab w:val="right" w:leader="dot" w:pos="8845"/>
              <w:tab w:val="clear" w:pos="8296"/>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_Toc10674 </w:instrText>
          </w:r>
          <w:r>
            <w:rPr>
              <w:rFonts w:hint="eastAsia" w:ascii="仿宋_GB2312" w:eastAsia="仿宋_GB2312" w:hAnsiTheme="minorEastAsia"/>
              <w:bCs/>
              <w:sz w:val="32"/>
              <w:szCs w:val="32"/>
              <w:lang w:val="zh-CN"/>
            </w:rPr>
            <w:fldChar w:fldCharType="separate"/>
          </w:r>
          <w:r>
            <w:rPr>
              <w:rFonts w:hint="eastAsia" w:ascii="黑体" w:hAnsi="黑体" w:eastAsia="黑体"/>
              <w:sz w:val="32"/>
              <w:szCs w:val="32"/>
            </w:rPr>
            <w:t>二、检验数量</w:t>
          </w:r>
          <w:r>
            <w:rPr>
              <w:sz w:val="32"/>
              <w:szCs w:val="32"/>
            </w:rPr>
            <w:tab/>
          </w:r>
          <w:r>
            <w:rPr>
              <w:sz w:val="32"/>
              <w:szCs w:val="32"/>
            </w:rPr>
            <w:fldChar w:fldCharType="begin"/>
          </w:r>
          <w:r>
            <w:rPr>
              <w:sz w:val="32"/>
              <w:szCs w:val="32"/>
            </w:rPr>
            <w:instrText xml:space="preserve"> PAGEREF _Toc10674 </w:instrText>
          </w:r>
          <w:r>
            <w:rPr>
              <w:sz w:val="32"/>
              <w:szCs w:val="32"/>
            </w:rPr>
            <w:fldChar w:fldCharType="separate"/>
          </w:r>
          <w:r>
            <w:rPr>
              <w:sz w:val="32"/>
              <w:szCs w:val="32"/>
            </w:rPr>
            <w:t>3</w:t>
          </w:r>
          <w:r>
            <w:rPr>
              <w:sz w:val="32"/>
              <w:szCs w:val="32"/>
            </w:rPr>
            <w:fldChar w:fldCharType="end"/>
          </w:r>
          <w:r>
            <w:rPr>
              <w:rFonts w:hint="eastAsia" w:ascii="仿宋_GB2312" w:eastAsia="仿宋_GB2312" w:hAnsiTheme="minorEastAsia"/>
              <w:bCs/>
              <w:sz w:val="32"/>
              <w:szCs w:val="32"/>
              <w:lang w:val="zh-CN"/>
            </w:rPr>
            <w:fldChar w:fldCharType="end"/>
          </w:r>
        </w:p>
        <w:p>
          <w:pPr>
            <w:pStyle w:val="7"/>
            <w:tabs>
              <w:tab w:val="right" w:leader="dot" w:pos="8845"/>
              <w:tab w:val="clear" w:pos="8296"/>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_Toc921 </w:instrText>
          </w:r>
          <w:r>
            <w:rPr>
              <w:rFonts w:hint="eastAsia" w:ascii="仿宋_GB2312" w:eastAsia="仿宋_GB2312" w:hAnsiTheme="minorEastAsia"/>
              <w:bCs/>
              <w:sz w:val="32"/>
              <w:szCs w:val="32"/>
              <w:lang w:val="zh-CN"/>
            </w:rPr>
            <w:fldChar w:fldCharType="separate"/>
          </w:r>
          <w:r>
            <w:rPr>
              <w:rFonts w:hint="eastAsia" w:ascii="黑体" w:hAnsi="黑体" w:eastAsia="黑体"/>
              <w:sz w:val="32"/>
              <w:szCs w:val="32"/>
              <w:lang w:eastAsia="zh-CN"/>
            </w:rPr>
            <w:t>三</w:t>
          </w:r>
          <w:r>
            <w:rPr>
              <w:rFonts w:hint="eastAsia" w:ascii="黑体" w:hAnsi="黑体" w:eastAsia="黑体"/>
              <w:sz w:val="32"/>
              <w:szCs w:val="32"/>
            </w:rPr>
            <w:t>、指标结果</w:t>
          </w:r>
          <w:r>
            <w:rPr>
              <w:sz w:val="32"/>
              <w:szCs w:val="32"/>
            </w:rPr>
            <w:tab/>
          </w:r>
          <w:r>
            <w:rPr>
              <w:sz w:val="32"/>
              <w:szCs w:val="32"/>
            </w:rPr>
            <w:fldChar w:fldCharType="begin"/>
          </w:r>
          <w:r>
            <w:rPr>
              <w:sz w:val="32"/>
              <w:szCs w:val="32"/>
            </w:rPr>
            <w:instrText xml:space="preserve"> PAGEREF _Toc921 </w:instrText>
          </w:r>
          <w:r>
            <w:rPr>
              <w:sz w:val="32"/>
              <w:szCs w:val="32"/>
            </w:rPr>
            <w:fldChar w:fldCharType="separate"/>
          </w:r>
          <w:r>
            <w:rPr>
              <w:sz w:val="32"/>
              <w:szCs w:val="32"/>
            </w:rPr>
            <w:t>6</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_Toc26272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（一）颜色级</w:t>
          </w:r>
          <w:r>
            <w:rPr>
              <w:sz w:val="32"/>
              <w:szCs w:val="32"/>
            </w:rPr>
            <w:tab/>
          </w:r>
          <w:r>
            <w:rPr>
              <w:sz w:val="32"/>
              <w:szCs w:val="32"/>
            </w:rPr>
            <w:fldChar w:fldCharType="begin"/>
          </w:r>
          <w:r>
            <w:rPr>
              <w:sz w:val="32"/>
              <w:szCs w:val="32"/>
            </w:rPr>
            <w:instrText xml:space="preserve"> PAGEREF _Toc26272 </w:instrText>
          </w:r>
          <w:r>
            <w:rPr>
              <w:sz w:val="32"/>
              <w:szCs w:val="32"/>
            </w:rPr>
            <w:fldChar w:fldCharType="separate"/>
          </w:r>
          <w:r>
            <w:rPr>
              <w:sz w:val="32"/>
              <w:szCs w:val="32"/>
            </w:rPr>
            <w:t>6</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_Toc17353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（二）轧工质量</w:t>
          </w:r>
          <w:r>
            <w:rPr>
              <w:sz w:val="32"/>
              <w:szCs w:val="32"/>
            </w:rPr>
            <w:tab/>
          </w:r>
          <w:r>
            <w:rPr>
              <w:sz w:val="32"/>
              <w:szCs w:val="32"/>
            </w:rPr>
            <w:fldChar w:fldCharType="begin"/>
          </w:r>
          <w:r>
            <w:rPr>
              <w:sz w:val="32"/>
              <w:szCs w:val="32"/>
            </w:rPr>
            <w:instrText xml:space="preserve"> PAGEREF _Toc17353 </w:instrText>
          </w:r>
          <w:r>
            <w:rPr>
              <w:sz w:val="32"/>
              <w:szCs w:val="32"/>
            </w:rPr>
            <w:fldChar w:fldCharType="separate"/>
          </w:r>
          <w:r>
            <w:rPr>
              <w:sz w:val="32"/>
              <w:szCs w:val="32"/>
            </w:rPr>
            <w:t>10</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_Toc20546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（三）长度</w:t>
          </w:r>
          <w:r>
            <w:rPr>
              <w:sz w:val="32"/>
              <w:szCs w:val="32"/>
            </w:rPr>
            <w:tab/>
          </w:r>
          <w:r>
            <w:rPr>
              <w:sz w:val="32"/>
              <w:szCs w:val="32"/>
            </w:rPr>
            <w:fldChar w:fldCharType="begin"/>
          </w:r>
          <w:r>
            <w:rPr>
              <w:sz w:val="32"/>
              <w:szCs w:val="32"/>
            </w:rPr>
            <w:instrText xml:space="preserve"> PAGEREF _Toc20546 </w:instrText>
          </w:r>
          <w:r>
            <w:rPr>
              <w:sz w:val="32"/>
              <w:szCs w:val="32"/>
            </w:rPr>
            <w:fldChar w:fldCharType="separate"/>
          </w:r>
          <w:r>
            <w:rPr>
              <w:sz w:val="32"/>
              <w:szCs w:val="32"/>
            </w:rPr>
            <w:t>11</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_Toc23268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（四）马克隆值</w:t>
          </w:r>
          <w:r>
            <w:rPr>
              <w:sz w:val="32"/>
              <w:szCs w:val="32"/>
            </w:rPr>
            <w:tab/>
          </w:r>
          <w:r>
            <w:rPr>
              <w:sz w:val="32"/>
              <w:szCs w:val="32"/>
            </w:rPr>
            <w:fldChar w:fldCharType="begin"/>
          </w:r>
          <w:r>
            <w:rPr>
              <w:sz w:val="32"/>
              <w:szCs w:val="32"/>
            </w:rPr>
            <w:instrText xml:space="preserve"> PAGEREF _Toc23268 </w:instrText>
          </w:r>
          <w:r>
            <w:rPr>
              <w:sz w:val="32"/>
              <w:szCs w:val="32"/>
            </w:rPr>
            <w:fldChar w:fldCharType="separate"/>
          </w:r>
          <w:r>
            <w:rPr>
              <w:sz w:val="32"/>
              <w:szCs w:val="32"/>
            </w:rPr>
            <w:t>14</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_Toc5895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（五）断裂比强度</w:t>
          </w:r>
          <w:r>
            <w:rPr>
              <w:sz w:val="32"/>
              <w:szCs w:val="32"/>
            </w:rPr>
            <w:tab/>
          </w:r>
          <w:r>
            <w:rPr>
              <w:sz w:val="32"/>
              <w:szCs w:val="32"/>
            </w:rPr>
            <w:fldChar w:fldCharType="begin"/>
          </w:r>
          <w:r>
            <w:rPr>
              <w:sz w:val="32"/>
              <w:szCs w:val="32"/>
            </w:rPr>
            <w:instrText xml:space="preserve"> PAGEREF _Toc5895 </w:instrText>
          </w:r>
          <w:r>
            <w:rPr>
              <w:sz w:val="32"/>
              <w:szCs w:val="32"/>
            </w:rPr>
            <w:fldChar w:fldCharType="separate"/>
          </w:r>
          <w:r>
            <w:rPr>
              <w:sz w:val="32"/>
              <w:szCs w:val="32"/>
            </w:rPr>
            <w:t>16</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_Toc18935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（六）长度整齐度指数</w:t>
          </w:r>
          <w:r>
            <w:rPr>
              <w:sz w:val="32"/>
              <w:szCs w:val="32"/>
            </w:rPr>
            <w:tab/>
          </w:r>
          <w:r>
            <w:rPr>
              <w:sz w:val="32"/>
              <w:szCs w:val="32"/>
            </w:rPr>
            <w:fldChar w:fldCharType="begin"/>
          </w:r>
          <w:r>
            <w:rPr>
              <w:sz w:val="32"/>
              <w:szCs w:val="32"/>
            </w:rPr>
            <w:instrText xml:space="preserve"> PAGEREF _Toc18935 </w:instrText>
          </w:r>
          <w:r>
            <w:rPr>
              <w:sz w:val="32"/>
              <w:szCs w:val="32"/>
            </w:rPr>
            <w:fldChar w:fldCharType="separate"/>
          </w:r>
          <w:r>
            <w:rPr>
              <w:sz w:val="32"/>
              <w:szCs w:val="32"/>
            </w:rPr>
            <w:t>19</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_Toc18641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（七）综合评价</w:t>
          </w:r>
          <w:r>
            <w:rPr>
              <w:sz w:val="32"/>
              <w:szCs w:val="32"/>
            </w:rPr>
            <w:tab/>
          </w:r>
          <w:r>
            <w:rPr>
              <w:sz w:val="32"/>
              <w:szCs w:val="32"/>
            </w:rPr>
            <w:fldChar w:fldCharType="begin"/>
          </w:r>
          <w:r>
            <w:rPr>
              <w:sz w:val="32"/>
              <w:szCs w:val="32"/>
            </w:rPr>
            <w:instrText xml:space="preserve"> PAGEREF _Toc18641 </w:instrText>
          </w:r>
          <w:r>
            <w:rPr>
              <w:sz w:val="32"/>
              <w:szCs w:val="32"/>
            </w:rPr>
            <w:fldChar w:fldCharType="separate"/>
          </w:r>
          <w:r>
            <w:rPr>
              <w:sz w:val="32"/>
              <w:szCs w:val="32"/>
            </w:rPr>
            <w:t>22</w:t>
          </w:r>
          <w:r>
            <w:rPr>
              <w:sz w:val="32"/>
              <w:szCs w:val="32"/>
            </w:rPr>
            <w:fldChar w:fldCharType="end"/>
          </w:r>
          <w:r>
            <w:rPr>
              <w:rFonts w:hint="eastAsia" w:ascii="仿宋_GB2312" w:eastAsia="仿宋_GB2312" w:hAnsiTheme="minorEastAsia"/>
              <w:bCs/>
              <w:sz w:val="32"/>
              <w:szCs w:val="32"/>
              <w:lang w:val="zh-CN"/>
            </w:rPr>
            <w:fldChar w:fldCharType="end"/>
          </w:r>
        </w:p>
        <w:p>
          <w:pPr>
            <w:pStyle w:val="7"/>
            <w:tabs>
              <w:tab w:val="right" w:leader="dot" w:pos="8845"/>
              <w:tab w:val="clear" w:pos="8296"/>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_Toc23607 </w:instrText>
          </w:r>
          <w:r>
            <w:rPr>
              <w:rFonts w:hint="eastAsia" w:ascii="仿宋_GB2312" w:eastAsia="仿宋_GB2312" w:hAnsiTheme="minorEastAsia"/>
              <w:bCs/>
              <w:sz w:val="32"/>
              <w:szCs w:val="32"/>
              <w:lang w:val="zh-CN"/>
            </w:rPr>
            <w:fldChar w:fldCharType="separate"/>
          </w:r>
          <w:r>
            <w:rPr>
              <w:rFonts w:hint="eastAsia" w:ascii="黑体" w:hAnsi="黑体" w:eastAsia="黑体"/>
              <w:sz w:val="32"/>
              <w:szCs w:val="32"/>
              <w:highlight w:val="none"/>
            </w:rPr>
            <w:t>四、质量影响因素分析</w:t>
          </w:r>
          <w:r>
            <w:rPr>
              <w:sz w:val="32"/>
              <w:szCs w:val="32"/>
            </w:rPr>
            <w:tab/>
          </w:r>
          <w:r>
            <w:rPr>
              <w:sz w:val="32"/>
              <w:szCs w:val="32"/>
            </w:rPr>
            <w:fldChar w:fldCharType="begin"/>
          </w:r>
          <w:r>
            <w:rPr>
              <w:sz w:val="32"/>
              <w:szCs w:val="32"/>
            </w:rPr>
            <w:instrText xml:space="preserve"> PAGEREF _Toc23607 </w:instrText>
          </w:r>
          <w:r>
            <w:rPr>
              <w:sz w:val="32"/>
              <w:szCs w:val="32"/>
            </w:rPr>
            <w:fldChar w:fldCharType="separate"/>
          </w:r>
          <w:r>
            <w:rPr>
              <w:sz w:val="32"/>
              <w:szCs w:val="32"/>
            </w:rPr>
            <w:t>23</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_Toc11607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（一）自然条件</w:t>
          </w:r>
          <w:r>
            <w:rPr>
              <w:sz w:val="32"/>
              <w:szCs w:val="32"/>
            </w:rPr>
            <w:tab/>
          </w:r>
          <w:r>
            <w:rPr>
              <w:sz w:val="32"/>
              <w:szCs w:val="32"/>
            </w:rPr>
            <w:fldChar w:fldCharType="begin"/>
          </w:r>
          <w:r>
            <w:rPr>
              <w:sz w:val="32"/>
              <w:szCs w:val="32"/>
            </w:rPr>
            <w:instrText xml:space="preserve"> PAGEREF _Toc11607 </w:instrText>
          </w:r>
          <w:r>
            <w:rPr>
              <w:sz w:val="32"/>
              <w:szCs w:val="32"/>
            </w:rPr>
            <w:fldChar w:fldCharType="separate"/>
          </w:r>
          <w:r>
            <w:rPr>
              <w:sz w:val="32"/>
              <w:szCs w:val="32"/>
            </w:rPr>
            <w:t>23</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_Toc9843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highlight w:val="none"/>
            </w:rPr>
            <w:t>（二）产业政策</w:t>
          </w:r>
          <w:r>
            <w:rPr>
              <w:sz w:val="32"/>
              <w:szCs w:val="32"/>
            </w:rPr>
            <w:tab/>
          </w:r>
          <w:r>
            <w:rPr>
              <w:sz w:val="32"/>
              <w:szCs w:val="32"/>
            </w:rPr>
            <w:fldChar w:fldCharType="begin"/>
          </w:r>
          <w:r>
            <w:rPr>
              <w:sz w:val="32"/>
              <w:szCs w:val="32"/>
            </w:rPr>
            <w:instrText xml:space="preserve"> PAGEREF _Toc9843 </w:instrText>
          </w:r>
          <w:r>
            <w:rPr>
              <w:sz w:val="32"/>
              <w:szCs w:val="32"/>
            </w:rPr>
            <w:fldChar w:fldCharType="separate"/>
          </w:r>
          <w:r>
            <w:rPr>
              <w:sz w:val="32"/>
              <w:szCs w:val="32"/>
            </w:rPr>
            <w:t>24</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_Toc2645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（三）市场形势</w:t>
          </w:r>
          <w:r>
            <w:rPr>
              <w:sz w:val="32"/>
              <w:szCs w:val="32"/>
            </w:rPr>
            <w:tab/>
          </w:r>
          <w:r>
            <w:rPr>
              <w:sz w:val="32"/>
              <w:szCs w:val="32"/>
            </w:rPr>
            <w:fldChar w:fldCharType="begin"/>
          </w:r>
          <w:r>
            <w:rPr>
              <w:sz w:val="32"/>
              <w:szCs w:val="32"/>
            </w:rPr>
            <w:instrText xml:space="preserve"> PAGEREF _Toc2645 </w:instrText>
          </w:r>
          <w:r>
            <w:rPr>
              <w:sz w:val="32"/>
              <w:szCs w:val="32"/>
            </w:rPr>
            <w:fldChar w:fldCharType="separate"/>
          </w:r>
          <w:r>
            <w:rPr>
              <w:sz w:val="32"/>
              <w:szCs w:val="32"/>
            </w:rPr>
            <w:t>25</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_Toc29432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（四）生产环节</w:t>
          </w:r>
          <w:r>
            <w:rPr>
              <w:sz w:val="32"/>
              <w:szCs w:val="32"/>
            </w:rPr>
            <w:tab/>
          </w:r>
          <w:r>
            <w:rPr>
              <w:sz w:val="32"/>
              <w:szCs w:val="32"/>
            </w:rPr>
            <w:fldChar w:fldCharType="begin"/>
          </w:r>
          <w:r>
            <w:rPr>
              <w:sz w:val="32"/>
              <w:szCs w:val="32"/>
            </w:rPr>
            <w:instrText xml:space="preserve"> PAGEREF _Toc29432 </w:instrText>
          </w:r>
          <w:r>
            <w:rPr>
              <w:sz w:val="32"/>
              <w:szCs w:val="32"/>
            </w:rPr>
            <w:fldChar w:fldCharType="separate"/>
          </w:r>
          <w:r>
            <w:rPr>
              <w:sz w:val="32"/>
              <w:szCs w:val="32"/>
            </w:rPr>
            <w:t>25</w:t>
          </w:r>
          <w:r>
            <w:rPr>
              <w:sz w:val="32"/>
              <w:szCs w:val="32"/>
            </w:rPr>
            <w:fldChar w:fldCharType="end"/>
          </w:r>
          <w:r>
            <w:rPr>
              <w:rFonts w:hint="eastAsia" w:ascii="仿宋_GB2312" w:eastAsia="仿宋_GB2312" w:hAnsiTheme="minorEastAsia"/>
              <w:bCs/>
              <w:sz w:val="32"/>
              <w:szCs w:val="32"/>
              <w:lang w:val="zh-CN"/>
            </w:rPr>
            <w:fldChar w:fldCharType="end"/>
          </w:r>
        </w:p>
        <w:p>
          <w:pPr>
            <w:pStyle w:val="7"/>
            <w:tabs>
              <w:tab w:val="right" w:leader="dot" w:pos="8845"/>
              <w:tab w:val="clear" w:pos="8296"/>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_Toc13926 </w:instrText>
          </w:r>
          <w:r>
            <w:rPr>
              <w:rFonts w:hint="eastAsia" w:ascii="仿宋_GB2312" w:eastAsia="仿宋_GB2312" w:hAnsiTheme="minorEastAsia"/>
              <w:bCs/>
              <w:sz w:val="32"/>
              <w:szCs w:val="32"/>
              <w:lang w:val="zh-CN"/>
            </w:rPr>
            <w:fldChar w:fldCharType="separate"/>
          </w:r>
          <w:r>
            <w:rPr>
              <w:rFonts w:hint="eastAsia" w:ascii="黑体" w:hAnsi="黑体" w:eastAsia="黑体"/>
              <w:sz w:val="32"/>
              <w:szCs w:val="32"/>
            </w:rPr>
            <w:t>五、有关建议</w:t>
          </w:r>
          <w:r>
            <w:rPr>
              <w:sz w:val="32"/>
              <w:szCs w:val="32"/>
            </w:rPr>
            <w:tab/>
          </w:r>
          <w:r>
            <w:rPr>
              <w:sz w:val="32"/>
              <w:szCs w:val="32"/>
            </w:rPr>
            <w:fldChar w:fldCharType="begin"/>
          </w:r>
          <w:r>
            <w:rPr>
              <w:sz w:val="32"/>
              <w:szCs w:val="32"/>
            </w:rPr>
            <w:instrText xml:space="preserve"> PAGEREF _Toc13926 </w:instrText>
          </w:r>
          <w:r>
            <w:rPr>
              <w:sz w:val="32"/>
              <w:szCs w:val="32"/>
            </w:rPr>
            <w:fldChar w:fldCharType="separate"/>
          </w:r>
          <w:r>
            <w:rPr>
              <w:sz w:val="32"/>
              <w:szCs w:val="32"/>
            </w:rPr>
            <w:t>27</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_Toc1421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（一）继续完善宏观调控政策</w:t>
          </w:r>
          <w:r>
            <w:rPr>
              <w:rFonts w:hint="eastAsia" w:ascii="方正楷体简体" w:hAnsi="方正楷体简体" w:eastAsia="方正楷体简体" w:cs="方正楷体简体"/>
              <w:sz w:val="32"/>
              <w:szCs w:val="32"/>
              <w:lang w:eastAsia="zh-CN"/>
            </w:rPr>
            <w:t>，促进市场健康有序发展</w:t>
          </w:r>
          <w:r>
            <w:rPr>
              <w:sz w:val="32"/>
              <w:szCs w:val="32"/>
            </w:rPr>
            <w:tab/>
          </w:r>
          <w:r>
            <w:rPr>
              <w:sz w:val="32"/>
              <w:szCs w:val="32"/>
            </w:rPr>
            <w:fldChar w:fldCharType="begin"/>
          </w:r>
          <w:r>
            <w:rPr>
              <w:sz w:val="32"/>
              <w:szCs w:val="32"/>
            </w:rPr>
            <w:instrText xml:space="preserve"> PAGEREF _Toc1421 </w:instrText>
          </w:r>
          <w:r>
            <w:rPr>
              <w:sz w:val="32"/>
              <w:szCs w:val="32"/>
            </w:rPr>
            <w:fldChar w:fldCharType="separate"/>
          </w:r>
          <w:r>
            <w:rPr>
              <w:sz w:val="32"/>
              <w:szCs w:val="32"/>
            </w:rPr>
            <w:t>27</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sz w:val="32"/>
              <w:szCs w:val="32"/>
            </w:rPr>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_Toc22394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（二）发挥质量大数据作用，</w:t>
          </w:r>
          <w:r>
            <w:rPr>
              <w:rFonts w:hint="eastAsia" w:ascii="方正楷体简体" w:hAnsi="方正楷体简体" w:eastAsia="方正楷体简体" w:cs="方正楷体简体"/>
              <w:sz w:val="32"/>
              <w:szCs w:val="32"/>
              <w:lang w:eastAsia="zh-CN"/>
            </w:rPr>
            <w:t>促进信息互联互通</w:t>
          </w:r>
          <w:r>
            <w:rPr>
              <w:sz w:val="32"/>
              <w:szCs w:val="32"/>
            </w:rPr>
            <w:tab/>
          </w:r>
          <w:r>
            <w:rPr>
              <w:sz w:val="32"/>
              <w:szCs w:val="32"/>
            </w:rPr>
            <w:fldChar w:fldCharType="begin"/>
          </w:r>
          <w:r>
            <w:rPr>
              <w:sz w:val="32"/>
              <w:szCs w:val="32"/>
            </w:rPr>
            <w:instrText xml:space="preserve"> PAGEREF _Toc22394 </w:instrText>
          </w:r>
          <w:r>
            <w:rPr>
              <w:sz w:val="32"/>
              <w:szCs w:val="32"/>
            </w:rPr>
            <w:fldChar w:fldCharType="separate"/>
          </w:r>
          <w:r>
            <w:rPr>
              <w:sz w:val="32"/>
              <w:szCs w:val="32"/>
            </w:rPr>
            <w:t>28</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pPr>
          <w:r>
            <w:rPr>
              <w:rFonts w:hint="eastAsia" w:ascii="仿宋_GB2312" w:eastAsia="仿宋_GB2312" w:hAnsiTheme="minorEastAsia"/>
              <w:bCs/>
              <w:sz w:val="32"/>
              <w:szCs w:val="32"/>
              <w:lang w:val="zh-CN"/>
            </w:rPr>
            <w:fldChar w:fldCharType="begin"/>
          </w:r>
          <w:r>
            <w:rPr>
              <w:rFonts w:hint="eastAsia" w:ascii="仿宋_GB2312" w:eastAsia="仿宋_GB2312" w:hAnsiTheme="minorEastAsia"/>
              <w:bCs/>
              <w:sz w:val="32"/>
              <w:szCs w:val="32"/>
              <w:lang w:val="zh-CN"/>
            </w:rPr>
            <w:instrText xml:space="preserve"> HYPERLINK \l _Toc16507 </w:instrText>
          </w:r>
          <w:r>
            <w:rPr>
              <w:rFonts w:hint="eastAsia" w:ascii="仿宋_GB2312" w:eastAsia="仿宋_GB2312" w:hAnsiTheme="minorEastAsia"/>
              <w:bCs/>
              <w:sz w:val="32"/>
              <w:szCs w:val="32"/>
              <w:lang w:val="zh-CN"/>
            </w:rPr>
            <w:fldChar w:fldCharType="separate"/>
          </w:r>
          <w:r>
            <w:rPr>
              <w:rFonts w:hint="eastAsia" w:ascii="方正楷体简体" w:hAnsi="方正楷体简体" w:eastAsia="方正楷体简体" w:cs="方正楷体简体"/>
              <w:sz w:val="32"/>
              <w:szCs w:val="32"/>
            </w:rPr>
            <w:t>（三）加强</w:t>
          </w:r>
          <w:r>
            <w:rPr>
              <w:rFonts w:hint="eastAsia" w:ascii="方正楷体简体" w:hAnsi="方正楷体简体" w:eastAsia="方正楷体简体" w:cs="方正楷体简体"/>
              <w:sz w:val="32"/>
              <w:szCs w:val="32"/>
              <w:lang w:eastAsia="zh-CN"/>
            </w:rPr>
            <w:t>棉花质量监测</w:t>
          </w: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促进</w:t>
          </w:r>
          <w:r>
            <w:rPr>
              <w:rFonts w:hint="eastAsia" w:ascii="方正楷体简体" w:hAnsi="方正楷体简体" w:eastAsia="方正楷体简体" w:cs="方正楷体简体"/>
              <w:sz w:val="32"/>
              <w:szCs w:val="32"/>
            </w:rPr>
            <w:t>全国棉花质量提升</w:t>
          </w:r>
          <w:r>
            <w:rPr>
              <w:sz w:val="32"/>
              <w:szCs w:val="32"/>
            </w:rPr>
            <w:tab/>
          </w:r>
          <w:r>
            <w:rPr>
              <w:sz w:val="32"/>
              <w:szCs w:val="32"/>
            </w:rPr>
            <w:fldChar w:fldCharType="begin"/>
          </w:r>
          <w:r>
            <w:rPr>
              <w:sz w:val="32"/>
              <w:szCs w:val="32"/>
            </w:rPr>
            <w:instrText xml:space="preserve"> PAGEREF _Toc16507 </w:instrText>
          </w:r>
          <w:r>
            <w:rPr>
              <w:sz w:val="32"/>
              <w:szCs w:val="32"/>
            </w:rPr>
            <w:fldChar w:fldCharType="separate"/>
          </w:r>
          <w:r>
            <w:rPr>
              <w:sz w:val="32"/>
              <w:szCs w:val="32"/>
            </w:rPr>
            <w:t>28</w:t>
          </w:r>
          <w:r>
            <w:rPr>
              <w:sz w:val="32"/>
              <w:szCs w:val="32"/>
            </w:rPr>
            <w:fldChar w:fldCharType="end"/>
          </w:r>
          <w:r>
            <w:rPr>
              <w:rFonts w:hint="eastAsia" w:ascii="仿宋_GB2312" w:eastAsia="仿宋_GB2312" w:hAnsiTheme="minorEastAsia"/>
              <w:bCs/>
              <w:sz w:val="32"/>
              <w:szCs w:val="32"/>
              <w:lang w:val="zh-CN"/>
            </w:rPr>
            <w:fldChar w:fldCharType="end"/>
          </w:r>
        </w:p>
        <w:p>
          <w:pPr>
            <w:pStyle w:val="9"/>
            <w:tabs>
              <w:tab w:val="right" w:leader="dot" w:pos="8845"/>
              <w:tab w:val="clear" w:pos="8315"/>
            </w:tabs>
            <w:rPr>
              <w:rFonts w:ascii="方正小标宋简体" w:eastAsia="方正小标宋简体" w:hAnsiTheme="minorEastAsia"/>
              <w:sz w:val="10"/>
              <w:szCs w:val="10"/>
            </w:rPr>
            <w:sectPr>
              <w:headerReference r:id="rId5" w:type="first"/>
              <w:headerReference r:id="rId4" w:type="default"/>
              <w:footerReference r:id="rId6" w:type="default"/>
              <w:footerReference r:id="rId7" w:type="even"/>
              <w:footnotePr>
                <w:numFmt w:val="decimalEnclosedCircleChinese"/>
              </w:footnotePr>
              <w:pgSz w:w="11906" w:h="16838"/>
              <w:pgMar w:top="2098" w:right="1474" w:bottom="1928" w:left="1587" w:header="851" w:footer="1134" w:gutter="0"/>
              <w:pgNumType w:start="1"/>
              <w:cols w:space="0" w:num="1"/>
              <w:titlePg/>
              <w:docGrid w:type="linesAndChars" w:linePitch="287" w:charSpace="-1839"/>
            </w:sectPr>
          </w:pPr>
          <w:r>
            <w:rPr>
              <w:rFonts w:hint="eastAsia" w:ascii="仿宋_GB2312" w:eastAsia="仿宋_GB2312" w:hAnsiTheme="minorEastAsia"/>
              <w:bCs/>
              <w:szCs w:val="32"/>
              <w:lang w:val="zh-CN"/>
            </w:rPr>
            <w:fldChar w:fldCharType="end"/>
          </w:r>
        </w:p>
      </w:sdtContent>
    </w:sdt>
    <w:p>
      <w:pPr>
        <w:pStyle w:val="2"/>
        <w:spacing w:before="0" w:beforeAutospacing="0" w:after="0" w:afterAutospacing="0" w:line="576" w:lineRule="exact"/>
        <w:ind w:firstLine="0" w:firstLineChars="0"/>
        <w:jc w:val="center"/>
        <w:rPr>
          <w:rFonts w:ascii="方正小标宋简体" w:eastAsia="方正小标宋简体" w:hAnsiTheme="minorEastAsia"/>
          <w:b w:val="0"/>
          <w:sz w:val="44"/>
          <w:szCs w:val="44"/>
        </w:rPr>
      </w:pPr>
      <w:bookmarkStart w:id="0" w:name="_Toc16250"/>
      <w:r>
        <w:rPr>
          <w:rFonts w:hint="eastAsia" w:ascii="方正小标宋简体" w:eastAsia="方正小标宋简体" w:hAnsiTheme="minorEastAsia"/>
          <w:b w:val="0"/>
          <w:sz w:val="44"/>
          <w:szCs w:val="44"/>
        </w:rPr>
        <w:t>前  言</w:t>
      </w:r>
      <w:bookmarkEnd w:id="0"/>
    </w:p>
    <w:p>
      <w:pPr>
        <w:pStyle w:val="2"/>
        <w:spacing w:before="0" w:beforeAutospacing="0" w:after="0" w:afterAutospacing="0" w:line="576" w:lineRule="exact"/>
        <w:ind w:firstLine="0" w:firstLineChars="0"/>
        <w:jc w:val="center"/>
        <w:rPr>
          <w:rFonts w:ascii="方正小标宋简体" w:eastAsia="方正小标宋简体" w:hAnsiTheme="minorEastAsia"/>
          <w:b w:val="0"/>
          <w:sz w:val="44"/>
          <w:szCs w:val="44"/>
        </w:rPr>
      </w:pPr>
    </w:p>
    <w:p>
      <w:pPr>
        <w:pStyle w:val="23"/>
        <w:keepNext w:val="0"/>
        <w:keepLines w:val="0"/>
        <w:pageBreakBefore w:val="0"/>
        <w:widowControl w:val="0"/>
        <w:kinsoku/>
        <w:wordWrap/>
        <w:overflowPunct/>
        <w:topLinePunct w:val="0"/>
        <w:autoSpaceDE/>
        <w:autoSpaceDN/>
        <w:bidi w:val="0"/>
        <w:adjustRightInd/>
        <w:snapToGrid/>
        <w:spacing w:line="540" w:lineRule="exact"/>
        <w:ind w:firstLine="622"/>
        <w:textAlignment w:val="auto"/>
        <w:rPr>
          <w:rFonts w:ascii="方正仿宋简体" w:eastAsia="方正仿宋简体"/>
          <w:sz w:val="32"/>
        </w:rPr>
      </w:pPr>
      <w:r>
        <w:rPr>
          <w:rFonts w:hint="eastAsia" w:ascii="方正仿宋简体" w:eastAsia="方正仿宋简体"/>
          <w:sz w:val="32"/>
        </w:rPr>
        <w:t>棉花是关系国计民生的重要物资，是我国主要的经济作物和纺织工业的主要原材料，在国民经济发展中具有重要地位。棉花产业涉及生产、加工、流通和纺织等多个行业，解决了我国大量的城乡劳动力就业问题，不仅是纺织工业发展的重要支撑，还是棉区农民增收的重要途径。棉花质量关系到产、供、需各方利益</w:t>
      </w:r>
      <w:bookmarkStart w:id="20" w:name="_GoBack"/>
      <w:bookmarkEnd w:id="20"/>
      <w:r>
        <w:rPr>
          <w:rFonts w:hint="eastAsia" w:ascii="方正仿宋简体" w:eastAsia="方正仿宋简体"/>
          <w:sz w:val="32"/>
        </w:rPr>
        <w:t>，贯穿于整个棉花产业链，对纺织工业和国民经济的发展有着重要影响。全面、准确地反映我国棉花质量状况，对加强宏观调控，维护市场稳定，引导棉花产业健康有序发展，是十分必要的。</w:t>
      </w:r>
    </w:p>
    <w:p>
      <w:pPr>
        <w:pStyle w:val="23"/>
        <w:keepNext w:val="0"/>
        <w:keepLines w:val="0"/>
        <w:pageBreakBefore w:val="0"/>
        <w:widowControl w:val="0"/>
        <w:kinsoku/>
        <w:wordWrap/>
        <w:overflowPunct/>
        <w:topLinePunct w:val="0"/>
        <w:autoSpaceDE/>
        <w:autoSpaceDN/>
        <w:bidi w:val="0"/>
        <w:adjustRightInd/>
        <w:snapToGrid/>
        <w:spacing w:line="540" w:lineRule="exact"/>
        <w:ind w:firstLine="622"/>
        <w:textAlignment w:val="auto"/>
        <w:rPr>
          <w:rFonts w:hint="eastAsia" w:ascii="方正仿宋简体" w:eastAsia="方正仿宋简体"/>
          <w:sz w:val="32"/>
          <w:lang w:eastAsia="zh-CN"/>
        </w:rPr>
      </w:pPr>
      <w:r>
        <w:rPr>
          <w:rFonts w:hint="eastAsia" w:ascii="方正仿宋简体" w:eastAsia="方正仿宋简体"/>
          <w:sz w:val="32"/>
        </w:rPr>
        <w:t>为保证我国棉花流通质量，稳定市场交易秩序，促进棉花产业健康发展，我国进行了棉花质量检验体制改革，将棉花质量检验方式由人工感官检验逐步转变为全部采用仪器化快速检验。改革推行</w:t>
      </w:r>
      <w:r>
        <w:rPr>
          <w:rFonts w:hint="eastAsia" w:ascii="方正仿宋简体" w:eastAsia="方正仿宋简体"/>
          <w:sz w:val="32"/>
          <w:lang w:eastAsia="zh-CN"/>
        </w:rPr>
        <w:t>以来</w:t>
      </w:r>
      <w:r>
        <w:rPr>
          <w:rFonts w:hint="eastAsia" w:ascii="方正仿宋简体" w:eastAsia="方正仿宋简体"/>
          <w:sz w:val="32"/>
        </w:rPr>
        <w:t>，我国仪器化公证检验工作不断深入，检验量稳步上升，检验数据能比较真实地反映当年度我国棉花质量情况。中国纤维检验局在改革中承担推进棉花质检体制改革</w:t>
      </w:r>
      <w:r>
        <w:rPr>
          <w:rFonts w:hint="eastAsia" w:ascii="方正仿宋简体" w:eastAsia="方正仿宋简体"/>
          <w:sz w:val="32"/>
          <w:lang w:eastAsia="zh-CN"/>
        </w:rPr>
        <w:t>、</w:t>
      </w:r>
      <w:r>
        <w:rPr>
          <w:rFonts w:hint="eastAsia" w:ascii="方正仿宋简体" w:eastAsia="方正仿宋简体"/>
          <w:sz w:val="32"/>
        </w:rPr>
        <w:t>建立仪器化公证检验体系</w:t>
      </w:r>
      <w:r>
        <w:rPr>
          <w:rFonts w:hint="eastAsia" w:ascii="方正仿宋简体" w:eastAsia="方正仿宋简体"/>
          <w:sz w:val="32"/>
          <w:lang w:eastAsia="zh-CN"/>
        </w:rPr>
        <w:t>、组织实施全国棉花公证检验的工作，各级专业纤检机构承担棉花公证检验工作任务。</w:t>
      </w:r>
    </w:p>
    <w:p>
      <w:pPr>
        <w:pStyle w:val="23"/>
        <w:keepNext w:val="0"/>
        <w:keepLines w:val="0"/>
        <w:pageBreakBefore w:val="0"/>
        <w:widowControl w:val="0"/>
        <w:kinsoku/>
        <w:wordWrap/>
        <w:overflowPunct/>
        <w:topLinePunct w:val="0"/>
        <w:autoSpaceDE/>
        <w:autoSpaceDN/>
        <w:bidi w:val="0"/>
        <w:adjustRightInd/>
        <w:snapToGrid/>
        <w:spacing w:line="540" w:lineRule="exact"/>
        <w:ind w:firstLine="622"/>
        <w:textAlignment w:val="auto"/>
        <w:rPr>
          <w:rFonts w:ascii="仿宋_GB2312" w:eastAsia="仿宋_GB2312"/>
          <w:sz w:val="32"/>
        </w:rPr>
      </w:pPr>
      <w:r>
        <w:rPr>
          <w:rFonts w:hint="eastAsia" w:ascii="方正仿宋简体" w:eastAsia="方正仿宋简体"/>
          <w:sz w:val="32"/>
        </w:rPr>
        <w:t>《2017/2018年度中国棉花质量分析报告》以本年度新体制棉花加工企业收购加工细绒棉（重点是新疆监管棉花）的公证检验数据为基础进行统计、分析，以期得到有价值的信息，为涉棉的政府职能部门、行业组织和相关企业分析棉花形势、研究棉花政策、扶持棉花产业提供重要依据。</w:t>
      </w:r>
    </w:p>
    <w:p>
      <w:pPr>
        <w:widowControl/>
        <w:spacing w:line="576" w:lineRule="exact"/>
        <w:jc w:val="left"/>
        <w:rPr>
          <w:rFonts w:ascii="仿宋_GB2312" w:eastAsia="仿宋_GB2312"/>
          <w:sz w:val="32"/>
        </w:rPr>
      </w:pPr>
      <w:r>
        <w:rPr>
          <w:rFonts w:ascii="仿宋_GB2312" w:eastAsia="仿宋_GB2312"/>
          <w:sz w:val="32"/>
        </w:rPr>
        <w:br w:type="page"/>
      </w:r>
    </w:p>
    <w:p>
      <w:pPr>
        <w:pStyle w:val="2"/>
        <w:widowControl w:val="0"/>
        <w:adjustRightInd w:val="0"/>
        <w:snapToGrid w:val="0"/>
        <w:spacing w:before="0" w:beforeAutospacing="0" w:after="0" w:afterAutospacing="0" w:line="576" w:lineRule="exact"/>
        <w:ind w:firstLine="622"/>
        <w:jc w:val="both"/>
        <w:rPr>
          <w:rFonts w:ascii="黑体" w:hAnsi="黑体" w:eastAsia="黑体"/>
          <w:b w:val="0"/>
          <w:sz w:val="32"/>
        </w:rPr>
      </w:pPr>
      <w:bookmarkStart w:id="1" w:name="_Toc26638"/>
      <w:r>
        <w:rPr>
          <w:rFonts w:hint="eastAsia" w:ascii="黑体" w:hAnsi="黑体" w:eastAsia="黑体"/>
          <w:b w:val="0"/>
          <w:sz w:val="32"/>
        </w:rPr>
        <w:t>一、数据来源</w:t>
      </w:r>
      <w:bookmarkEnd w:id="1"/>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2017/2018年度中国棉花质量分析报告，依据GB 1103.1-2012《棉花 第1部分：锯齿加工细绒棉》</w:t>
      </w:r>
      <w:r>
        <w:rPr>
          <w:rStyle w:val="15"/>
          <w:rFonts w:hint="eastAsia" w:ascii="方正仿宋简体" w:eastAsia="方正仿宋简体"/>
          <w:sz w:val="32"/>
        </w:rPr>
        <w:footnoteReference w:id="0"/>
      </w:r>
      <w:r>
        <w:rPr>
          <w:rFonts w:hint="eastAsia" w:ascii="方正仿宋简体" w:eastAsia="方正仿宋简体"/>
          <w:sz w:val="32"/>
        </w:rPr>
        <w:t xml:space="preserve">国家标准，对颜色级、轧工质量、长度、马克隆值、断裂比强度、长度整齐度指数等主要指标进行汇总统计，并综合生产、市场和政策等多方因素进行分析和评价而成。 </w:t>
      </w:r>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本报告所称的新体制棉花，是指按照棉花质量检验体制改革方案要求进行生产、加工，并在棉花产地经过仪器化公证检验的成包皮棉。</w:t>
      </w:r>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本报告所称的棉花年度，起止时间为当年9月1日至次年8月31日，2017/2018年度即为2017年9月1日至2018年8月31日。</w:t>
      </w:r>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按照品种及纤维长度，我国棉花分为细绒棉和长绒棉，长绒棉仅在新疆有种植，占全国棉花总量的比例极低，其检验依据为GB 19635-2005《棉花 长绒棉》，与细绒棉的检验依据不同。细绒棉按加工方式的不同分为锯齿加工细绒棉和皮辊加工细绒棉，皮辊加工细绒棉占全国棉花总量的比例极低，其检验依据为GB 1103.2-2012《棉花 第2部分：皮辊加工细绒棉》。因此，本文所统计的质量指标数据，均以当年度新体制棉花锯齿加工细绒棉的公证检验数据为基础计算而来。</w:t>
      </w:r>
    </w:p>
    <w:p>
      <w:pPr>
        <w:pStyle w:val="2"/>
        <w:spacing w:before="0" w:beforeAutospacing="0" w:after="0" w:afterAutospacing="0" w:line="576" w:lineRule="exact"/>
        <w:ind w:firstLine="622"/>
        <w:rPr>
          <w:rFonts w:ascii="黑体" w:hAnsi="黑体" w:eastAsia="黑体"/>
          <w:b w:val="0"/>
          <w:sz w:val="32"/>
        </w:rPr>
      </w:pPr>
      <w:bookmarkStart w:id="2" w:name="_Toc10674"/>
      <w:r>
        <w:rPr>
          <w:rFonts w:hint="eastAsia" w:ascii="黑体" w:hAnsi="黑体" w:eastAsia="黑体"/>
          <w:b w:val="0"/>
          <w:sz w:val="32"/>
        </w:rPr>
        <w:t>二、检验数量</w:t>
      </w:r>
      <w:bookmarkEnd w:id="2"/>
    </w:p>
    <w:p>
      <w:pPr>
        <w:spacing w:line="576" w:lineRule="exact"/>
        <w:ind w:firstLine="624" w:firstLineChars="200"/>
        <w:rPr>
          <w:rFonts w:ascii="方正仿宋简体" w:eastAsia="方正仿宋简体"/>
          <w:sz w:val="32"/>
        </w:rPr>
      </w:pPr>
      <w:r>
        <w:rPr>
          <w:rFonts w:hint="eastAsia" w:ascii="方正仿宋简体" w:eastAsia="方正仿宋简体"/>
          <w:sz w:val="32"/>
        </w:rPr>
        <w:t>2017/2018年度，全国新体制棉花细绒棉公证检验涉及的产棉省（自治区、直辖市）及新疆生产建设兵团共10个</w:t>
      </w:r>
      <w:r>
        <w:rPr>
          <w:rStyle w:val="15"/>
          <w:rFonts w:hint="eastAsia" w:ascii="方正仿宋简体" w:eastAsia="方正仿宋简体"/>
          <w:sz w:val="32"/>
        </w:rPr>
        <w:footnoteReference w:id="1"/>
      </w:r>
      <w:r>
        <w:rPr>
          <w:rFonts w:hint="eastAsia" w:ascii="方正仿宋简体" w:eastAsia="方正仿宋简体"/>
          <w:sz w:val="32"/>
        </w:rPr>
        <w:t>，与上一年度持平，涉及加工企业1030家，比上一年度增长4.36%，检验量2337万包，528.7万吨，分别比上一年度增加27.35%、27.18%（见图1-1）。</w:t>
      </w:r>
    </w:p>
    <w:p>
      <w:pPr>
        <w:adjustRightInd w:val="0"/>
        <w:snapToGrid w:val="0"/>
        <w:ind w:left="-404" w:leftChars="-200"/>
        <w:jc w:val="right"/>
        <w:rPr>
          <w:rFonts w:ascii="仿宋_GB2312" w:eastAsia="仿宋_GB2312"/>
          <w:sz w:val="32"/>
          <w:highlight w:val="yellow"/>
        </w:rPr>
      </w:pPr>
      <w:r>
        <w:rPr>
          <w:rFonts w:ascii="仿宋_GB2312" w:eastAsia="仿宋_GB2312"/>
          <w:sz w:val="32"/>
        </w:rPr>
        <w:drawing>
          <wp:inline distT="0" distB="0" distL="0" distR="0">
            <wp:extent cx="6210300" cy="3076575"/>
            <wp:effectExtent l="4445" t="4445" r="1460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76" w:lineRule="exact"/>
        <w:ind w:firstLine="624" w:firstLineChars="200"/>
        <w:rPr>
          <w:rFonts w:ascii="方正仿宋简体" w:eastAsia="方正仿宋简体"/>
          <w:sz w:val="32"/>
        </w:rPr>
      </w:pPr>
      <w:r>
        <w:rPr>
          <w:rFonts w:hint="eastAsia" w:ascii="方正仿宋简体" w:eastAsia="方正仿宋简体"/>
          <w:sz w:val="32"/>
        </w:rPr>
        <w:t>对比近5个年度的新体制企业检验数量，新疆作为我国棉花最主要产区，检验量在全国仍保持非常大的比重，为94.50%（见图1-2），其中，新疆地方检验量仍保持快速增长，增幅达到35.59%（见图1-3-3）。内地棉区检验量逐步进入平稳期，黄河流域棉区检验量同比增长53.00%，长</w:t>
      </w:r>
      <w:r>
        <w:rPr>
          <w:rFonts w:hint="eastAsia" w:ascii="方正仿宋简体" w:eastAsia="方正仿宋简体"/>
          <w:spacing w:val="-10"/>
          <w:sz w:val="32"/>
        </w:rPr>
        <w:t>江流域棉区同比下降0.52%。（见图1-3、图1-3-1、图1-3-2）。</w:t>
      </w:r>
    </w:p>
    <w:p>
      <w:pPr>
        <w:rPr>
          <w:rFonts w:ascii="仿宋_GB2312" w:eastAsia="仿宋_GB2312"/>
          <w:sz w:val="32"/>
        </w:rPr>
      </w:pPr>
      <w:r>
        <w:rPr>
          <w:rFonts w:ascii="仿宋_GB2312" w:eastAsia="仿宋_GB2312"/>
          <w:sz w:val="32"/>
        </w:rPr>
        <w:drawing>
          <wp:inline distT="0" distB="0" distL="0" distR="0">
            <wp:extent cx="5657850" cy="415290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left="-1212" w:leftChars="-600"/>
        <w:jc w:val="center"/>
        <w:rPr>
          <w:rFonts w:ascii="宋体" w:hAnsi="宋体" w:cs="宋体"/>
          <w:b/>
          <w:kern w:val="0"/>
          <w:sz w:val="24"/>
          <w:szCs w:val="22"/>
        </w:rPr>
      </w:pPr>
      <w:r>
        <w:rPr>
          <w:rFonts w:ascii="宋体" w:hAnsi="宋体" w:cs="宋体"/>
          <w:b/>
          <w:kern w:val="0"/>
          <w:sz w:val="24"/>
          <w:szCs w:val="22"/>
        </w:rPr>
        <w:drawing>
          <wp:inline distT="0" distB="0" distL="0" distR="0">
            <wp:extent cx="6848475" cy="3381375"/>
            <wp:effectExtent l="0" t="0" r="9525" b="952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left="-404" w:leftChars="-200"/>
        <w:jc w:val="center"/>
        <w:rPr>
          <w:rFonts w:ascii="宋体" w:hAnsi="宋体" w:cs="宋体"/>
          <w:b/>
          <w:kern w:val="0"/>
          <w:sz w:val="24"/>
          <w:szCs w:val="22"/>
        </w:rPr>
      </w:pPr>
      <w:r>
        <w:rPr>
          <w:rFonts w:hint="eastAsia" w:ascii="宋体" w:hAnsi="宋体" w:cs="宋体"/>
          <w:b/>
          <w:kern w:val="0"/>
          <w:sz w:val="24"/>
          <w:szCs w:val="22"/>
        </w:rPr>
        <w:drawing>
          <wp:inline distT="0" distB="0" distL="0" distR="0">
            <wp:extent cx="6096000" cy="3581400"/>
            <wp:effectExtent l="0" t="0" r="0"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napToGrid w:val="0"/>
        <w:jc w:val="center"/>
        <w:rPr>
          <w:rFonts w:ascii="宋体" w:hAnsi="宋体" w:cs="宋体"/>
          <w:b/>
          <w:kern w:val="0"/>
          <w:sz w:val="24"/>
          <w:szCs w:val="22"/>
        </w:rPr>
      </w:pPr>
    </w:p>
    <w:p>
      <w:pPr>
        <w:ind w:left="-404" w:leftChars="-200"/>
        <w:jc w:val="center"/>
        <w:rPr>
          <w:rFonts w:ascii="宋体" w:hAnsi="宋体" w:cs="宋体"/>
          <w:b/>
          <w:kern w:val="0"/>
          <w:sz w:val="24"/>
          <w:szCs w:val="22"/>
        </w:rPr>
      </w:pPr>
      <w:r>
        <w:rPr>
          <w:rFonts w:ascii="宋体" w:hAnsi="宋体" w:cs="宋体"/>
          <w:b/>
          <w:kern w:val="0"/>
          <w:sz w:val="24"/>
          <w:szCs w:val="22"/>
        </w:rPr>
        <w:drawing>
          <wp:inline distT="0" distB="0" distL="0" distR="0">
            <wp:extent cx="6162675" cy="4076700"/>
            <wp:effectExtent l="0" t="0" r="9525" b="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left="-505" w:leftChars="-250"/>
        <w:jc w:val="center"/>
        <w:rPr>
          <w:rFonts w:ascii="宋体" w:hAnsi="宋体" w:cs="宋体"/>
          <w:b/>
          <w:kern w:val="0"/>
          <w:sz w:val="24"/>
          <w:szCs w:val="22"/>
        </w:rPr>
      </w:pPr>
      <w:r>
        <w:rPr>
          <w:rFonts w:hint="eastAsia" w:ascii="宋体" w:hAnsi="宋体" w:cs="宋体"/>
          <w:b/>
          <w:kern w:val="0"/>
          <w:sz w:val="24"/>
          <w:szCs w:val="22"/>
        </w:rPr>
        <w:drawing>
          <wp:inline distT="0" distB="0" distL="0" distR="0">
            <wp:extent cx="6248400" cy="3305175"/>
            <wp:effectExtent l="0" t="0" r="0" b="952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2"/>
        <w:spacing w:before="0" w:beforeAutospacing="0" w:after="0" w:afterAutospacing="0" w:line="576" w:lineRule="exact"/>
        <w:ind w:firstLine="622"/>
        <w:rPr>
          <w:rFonts w:ascii="黑体" w:hAnsi="黑体" w:eastAsia="黑体"/>
          <w:b w:val="0"/>
          <w:sz w:val="32"/>
          <w:szCs w:val="32"/>
        </w:rPr>
      </w:pPr>
      <w:bookmarkStart w:id="3" w:name="_Toc921"/>
      <w:r>
        <w:rPr>
          <w:rFonts w:hint="eastAsia" w:ascii="黑体" w:hAnsi="黑体" w:eastAsia="黑体"/>
          <w:b w:val="0"/>
          <w:sz w:val="32"/>
          <w:szCs w:val="32"/>
          <w:lang w:eastAsia="zh-CN"/>
        </w:rPr>
        <w:t>三</w:t>
      </w:r>
      <w:r>
        <w:rPr>
          <w:rFonts w:hint="eastAsia" w:ascii="黑体" w:hAnsi="黑体" w:eastAsia="黑体"/>
          <w:b w:val="0"/>
          <w:sz w:val="32"/>
          <w:szCs w:val="32"/>
        </w:rPr>
        <w:t>、指标结果</w:t>
      </w:r>
      <w:bookmarkEnd w:id="3"/>
    </w:p>
    <w:p>
      <w:pPr>
        <w:pStyle w:val="3"/>
        <w:spacing w:before="0" w:after="0" w:line="576" w:lineRule="exact"/>
        <w:ind w:firstLine="622"/>
        <w:rPr>
          <w:rFonts w:hint="eastAsia" w:ascii="方正楷体简体" w:hAnsi="方正楷体简体" w:eastAsia="方正楷体简体" w:cs="方正楷体简体"/>
        </w:rPr>
      </w:pPr>
      <w:bookmarkStart w:id="4" w:name="_Toc26272"/>
      <w:r>
        <w:rPr>
          <w:rFonts w:hint="eastAsia" w:ascii="方正楷体简体" w:hAnsi="方正楷体简体" w:eastAsia="方正楷体简体" w:cs="方正楷体简体"/>
        </w:rPr>
        <w:t>（一）颜色级</w:t>
      </w:r>
      <w:r>
        <w:rPr>
          <w:rStyle w:val="15"/>
          <w:rFonts w:hint="eastAsia" w:ascii="方正楷体简体" w:hAnsi="方正楷体简体" w:eastAsia="方正楷体简体" w:cs="方正楷体简体"/>
        </w:rPr>
        <w:footnoteReference w:id="2"/>
      </w:r>
      <w:bookmarkEnd w:id="4"/>
    </w:p>
    <w:p>
      <w:pPr>
        <w:pStyle w:val="23"/>
        <w:spacing w:line="576" w:lineRule="exact"/>
        <w:ind w:firstLine="622"/>
        <w:rPr>
          <w:rFonts w:ascii="方正仿宋简体" w:eastAsia="方正仿宋简体"/>
          <w:sz w:val="32"/>
          <w:szCs w:val="32"/>
        </w:rPr>
      </w:pPr>
      <w:r>
        <w:rPr>
          <w:rFonts w:hint="eastAsia" w:ascii="方正仿宋简体" w:eastAsia="方正仿宋简体"/>
          <w:sz w:val="32"/>
        </w:rPr>
        <w:t>颜色级指标是GB 1103.1-2012《棉花 第1部分：锯齿加工细绒棉》引入的棉花质量指标，它依据棉花的黄色深度（+b）确定类型，依据反射率（Rd%）反映出的明暗程度确定级别，通过类型和级别在颜色分级图中对应的区域确定棉花的颜色级。按照中国棉花颜色分级图，我国锯齿加工细绒棉共分为4种类型、13个颜色级，其中白棉3级为标准级。从类型来讲，白棉和淡点污棉使用价值较高；淡黄染棉由各种僵瓣棉和部分晚期次棉、污染棉、烂桃棉，或是淡点污棉变异而来，使用价值较低；黄染棉是</w:t>
      </w:r>
      <w:r>
        <w:rPr>
          <w:rFonts w:hint="eastAsia" w:ascii="方正仿宋简体" w:eastAsia="方正仿宋简体"/>
          <w:sz w:val="32"/>
          <w:szCs w:val="32"/>
        </w:rPr>
        <w:t>在特殊情况下才会出现的，因多年存储变异，或回潮率大的籽棉未及时晾晒而变黄，这类棉花品质极低。各个类型中，1级为最好。</w:t>
      </w:r>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从2017/2018年度新体制棉花检验情况来看，西北内陆棉区的棉花颜色级指标最好，白棉所占比例最高，达到98.17%。黄河流域棉区整体颜色级指标介于西北内陆棉区和长江流域棉区水平之间，淡点污棉占比较多，为51.05%，白棉占比为46.27%。长江流域棉区颜色级指标最差，淡点污棉占比达到66.62%，白棉占比仅为17.51%（见图2-1）。</w:t>
      </w:r>
    </w:p>
    <w:p>
      <w:pPr>
        <w:rPr>
          <w:rFonts w:ascii="仿宋_GB2312" w:eastAsia="仿宋_GB2312"/>
          <w:sz w:val="32"/>
          <w:szCs w:val="32"/>
        </w:rPr>
      </w:pPr>
      <w:r>
        <w:drawing>
          <wp:inline distT="0" distB="0" distL="0" distR="0">
            <wp:extent cx="5486400" cy="3762375"/>
            <wp:effectExtent l="0" t="0" r="0" b="952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drawing>
          <wp:inline distT="0" distB="0" distL="0" distR="0">
            <wp:extent cx="5486400" cy="7905750"/>
            <wp:effectExtent l="0" t="0" r="0" b="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对比实施颜色级指标五年来的数据，我国棉花颜色级指标整体保持稳定，其中，2017/2018年度白棉占比较上年度增加了0.7个百分点，全国以白棉2级、3级为主，白棉1级、2级占比较上一年度增加了16.3个百分点；淡点污棉占比较上年度降低了0.3个百分点；淡黄染棉及黄染棉占比也均较上一年度有小幅下降（见图2-2、图2-3）。</w:t>
      </w:r>
    </w:p>
    <w:p>
      <w:pPr>
        <w:pStyle w:val="23"/>
        <w:spacing w:line="576" w:lineRule="exact"/>
        <w:ind w:firstLine="622"/>
        <w:rPr>
          <w:rFonts w:ascii="方正仿宋简体" w:eastAsia="方正仿宋简体"/>
          <w:sz w:val="32"/>
        </w:rPr>
      </w:pPr>
    </w:p>
    <w:p>
      <w:pPr>
        <w:rPr>
          <w:rFonts w:ascii="仿宋_GB2312" w:eastAsia="仿宋_GB2312"/>
          <w:sz w:val="32"/>
        </w:rPr>
      </w:pPr>
      <w:r>
        <w:drawing>
          <wp:inline distT="0" distB="0" distL="0" distR="0">
            <wp:extent cx="5638800" cy="5172075"/>
            <wp:effectExtent l="0" t="0" r="0" b="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3"/>
        <w:spacing w:before="0" w:after="0" w:line="576" w:lineRule="exact"/>
        <w:ind w:firstLine="622"/>
        <w:rPr>
          <w:rFonts w:hint="eastAsia" w:ascii="方正楷体简体" w:hAnsi="方正楷体简体" w:eastAsia="方正楷体简体" w:cs="方正楷体简体"/>
        </w:rPr>
      </w:pPr>
      <w:bookmarkStart w:id="5" w:name="_Toc17353"/>
      <w:r>
        <w:rPr>
          <w:rFonts w:hint="eastAsia" w:ascii="方正楷体简体" w:hAnsi="方正楷体简体" w:eastAsia="方正楷体简体" w:cs="方正楷体简体"/>
        </w:rPr>
        <w:t>（二）轧工质量</w:t>
      </w:r>
      <w:r>
        <w:rPr>
          <w:rStyle w:val="15"/>
          <w:rFonts w:hint="eastAsia" w:ascii="方正楷体简体" w:hAnsi="方正楷体简体" w:eastAsia="方正楷体简体" w:cs="方正楷体简体"/>
        </w:rPr>
        <w:footnoteReference w:id="3"/>
      </w:r>
      <w:bookmarkEnd w:id="5"/>
    </w:p>
    <w:p>
      <w:pPr>
        <w:pStyle w:val="23"/>
        <w:adjustRightInd w:val="0"/>
        <w:snapToGrid w:val="0"/>
        <w:spacing w:line="576" w:lineRule="exact"/>
        <w:ind w:firstLine="622"/>
        <w:rPr>
          <w:rFonts w:ascii="方正仿宋简体" w:eastAsia="方正仿宋简体"/>
          <w:sz w:val="32"/>
        </w:rPr>
      </w:pPr>
      <w:r>
        <w:rPr>
          <w:rFonts w:hint="eastAsia" w:ascii="方正仿宋简体" w:eastAsia="方正仿宋简体"/>
          <w:sz w:val="32"/>
        </w:rPr>
        <w:t>轧工质量是指籽棉经过加工后，皮棉外观形态粗糙程度及所含疵点种类的多少。</w:t>
      </w:r>
    </w:p>
    <w:p>
      <w:pPr>
        <w:adjustRightInd w:val="0"/>
        <w:snapToGrid w:val="0"/>
        <w:ind w:left="-606" w:leftChars="-300"/>
        <w:rPr>
          <w:rFonts w:ascii="仿宋_GB2312" w:eastAsia="仿宋_GB2312"/>
          <w:sz w:val="32"/>
        </w:rPr>
      </w:pPr>
      <w:r>
        <w:drawing>
          <wp:inline distT="0" distB="0" distL="0" distR="0">
            <wp:extent cx="6677025" cy="4657725"/>
            <wp:effectExtent l="0" t="0" r="9525" b="952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从2017/2018年度新体制棉花检验情况来看，新疆棉的轧工质量为好的比例明显高于全国平均水平。湖南棉花轧工质量为差的比例最高，为4.90%，由于机采棉加工方式的特性，新疆棉中轧工质量为差的比例也明显高于其他省份和全国平均水平。从全国范围来看95%以上棉花轧工质量为中档（见图2-4）。</w:t>
      </w:r>
    </w:p>
    <w:p>
      <w:pPr>
        <w:pStyle w:val="3"/>
        <w:spacing w:before="0" w:after="0" w:line="576" w:lineRule="exact"/>
        <w:ind w:firstLine="622"/>
        <w:rPr>
          <w:rFonts w:hint="eastAsia" w:ascii="方正楷体简体" w:hAnsi="方正楷体简体" w:eastAsia="方正楷体简体" w:cs="方正楷体简体"/>
        </w:rPr>
      </w:pPr>
      <w:bookmarkStart w:id="6" w:name="_Toc20546"/>
      <w:r>
        <w:rPr>
          <w:rFonts w:hint="eastAsia" w:ascii="方正楷体简体" w:hAnsi="方正楷体简体" w:eastAsia="方正楷体简体" w:cs="方正楷体简体"/>
        </w:rPr>
        <w:t>（三）长度</w:t>
      </w:r>
      <w:r>
        <w:rPr>
          <w:rFonts w:hint="eastAsia" w:ascii="方正楷体简体" w:hAnsi="方正楷体简体" w:eastAsia="方正楷体简体" w:cs="方正楷体简体"/>
          <w:vertAlign w:val="superscript"/>
        </w:rPr>
        <w:footnoteReference w:id="4"/>
      </w:r>
      <w:bookmarkEnd w:id="6"/>
    </w:p>
    <w:p>
      <w:pPr>
        <w:spacing w:line="576" w:lineRule="exact"/>
        <w:ind w:firstLine="612" w:firstLineChars="196"/>
        <w:rPr>
          <w:rFonts w:ascii="方正仿宋简体" w:eastAsia="方正仿宋简体"/>
          <w:sz w:val="32"/>
        </w:rPr>
      </w:pPr>
      <w:r>
        <w:rPr>
          <w:rFonts w:hint="eastAsia" w:ascii="方正仿宋简体" w:eastAsia="方正仿宋简体"/>
          <w:sz w:val="32"/>
        </w:rPr>
        <w:t>长度是棉花最重要的内在质量指标之一，与棉花的整体使用价值密切相关。细绒棉的长度由25毫米级至32毫米级依次分为八个长度级，其中28毫米级为标准级，30-32毫米级的棉花使用价值较高，25-26毫米级的棉花使用价值较低。</w:t>
      </w:r>
    </w:p>
    <w:p>
      <w:pPr>
        <w:rPr>
          <w:rFonts w:ascii="仿宋_GB2312" w:eastAsia="仿宋_GB2312"/>
          <w:sz w:val="32"/>
        </w:rPr>
      </w:pPr>
      <w:r>
        <w:rPr>
          <w:rFonts w:ascii="仿宋_GB2312" w:eastAsia="仿宋_GB2312"/>
          <w:sz w:val="32"/>
        </w:rPr>
        <w:drawing>
          <wp:inline distT="0" distB="0" distL="0" distR="0">
            <wp:extent cx="5486400" cy="5353050"/>
            <wp:effectExtent l="0" t="0" r="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23"/>
        <w:spacing w:line="576" w:lineRule="exact"/>
        <w:ind w:firstLine="610"/>
        <w:rPr>
          <w:rFonts w:ascii="方正仿宋简体" w:eastAsia="方正仿宋简体"/>
          <w:sz w:val="32"/>
        </w:rPr>
      </w:pPr>
      <w:r>
        <w:rPr>
          <w:rFonts w:hint="eastAsia" w:ascii="方正仿宋简体" w:eastAsia="方正仿宋简体"/>
          <w:spacing w:val="-3"/>
          <w:sz w:val="32"/>
        </w:rPr>
        <w:t>2017/2018年度，全国新体制棉花细绒棉逐包检验平均长度</w:t>
      </w:r>
      <w:r>
        <w:rPr>
          <w:rStyle w:val="15"/>
          <w:rFonts w:hint="eastAsia" w:ascii="方正仿宋简体" w:eastAsia="方正仿宋简体"/>
          <w:sz w:val="32"/>
        </w:rPr>
        <w:footnoteReference w:id="5"/>
      </w:r>
      <w:r>
        <w:rPr>
          <w:rFonts w:hint="eastAsia" w:ascii="方正仿宋简体" w:eastAsia="方正仿宋简体"/>
          <w:sz w:val="32"/>
        </w:rPr>
        <w:t>为29.00毫米；长度级加权平均值</w:t>
      </w:r>
      <w:r>
        <w:rPr>
          <w:rStyle w:val="15"/>
          <w:rFonts w:hint="eastAsia" w:ascii="方正仿宋简体" w:eastAsia="方正仿宋简体"/>
          <w:sz w:val="32"/>
        </w:rPr>
        <w:footnoteReference w:id="6"/>
      </w:r>
      <w:r>
        <w:rPr>
          <w:rFonts w:hint="eastAsia" w:ascii="方正仿宋简体" w:eastAsia="方正仿宋简体"/>
          <w:sz w:val="32"/>
        </w:rPr>
        <w:t>为28.55毫米。从各产棉省棉花逐包检验平均长度看，甘肃棉花长度最长，达到29.46毫米，其次是新疆，为29.03毫米；其他省份棉花长度多集中在28.00-29.00毫米之间，湖北棉花长度表现最差，为27.45毫米（见图2-5）。总体来看，各长度级占比中，新疆、甘肃棉花集中在28-30毫米之间，其他省份棉花集中在27-29毫米之间（见图2-6）。</w:t>
      </w:r>
    </w:p>
    <w:p>
      <w:pPr>
        <w:ind w:left="-808" w:leftChars="-400"/>
        <w:rPr>
          <w:rFonts w:ascii="仿宋_GB2312" w:eastAsia="仿宋_GB2312"/>
          <w:sz w:val="32"/>
        </w:rPr>
      </w:pPr>
      <w:r>
        <w:drawing>
          <wp:inline distT="0" distB="0" distL="0" distR="0">
            <wp:extent cx="6515100" cy="4448810"/>
            <wp:effectExtent l="0" t="0" r="0" b="889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对比近5个年度的数据，2017/2018年度棉花长度与上一年度基本持平，其中，逐包检验平均长度较上一年度减少0.02毫米，比前四年平均水平高0.39毫米；长度级加权平均值较上年度减少0.03毫米，比前四年平均水平高0.39毫米。全国长度级低于长度标准级的棉花占比为7.98%，比上一年度增加0.43个百分点，30-32毫米长度级的棉花占比再次突破10%，为10.33%，较上一年度减少0.78个百分点（见图2-7）。</w:t>
      </w:r>
    </w:p>
    <w:p>
      <w:pPr>
        <w:rPr>
          <w:rFonts w:ascii="仿宋_GB2312" w:eastAsia="仿宋_GB2312"/>
          <w:sz w:val="32"/>
        </w:rPr>
      </w:pPr>
      <w:r>
        <w:drawing>
          <wp:inline distT="0" distB="0" distL="0" distR="0">
            <wp:extent cx="5876925" cy="5381625"/>
            <wp:effectExtent l="0" t="0" r="0" b="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3"/>
        <w:spacing w:before="0" w:after="0" w:line="576" w:lineRule="exact"/>
        <w:ind w:firstLine="622"/>
        <w:rPr>
          <w:rFonts w:hint="eastAsia" w:ascii="方正楷体简体" w:hAnsi="方正楷体简体" w:eastAsia="方正楷体简体" w:cs="方正楷体简体"/>
        </w:rPr>
      </w:pPr>
      <w:bookmarkStart w:id="7" w:name="_Toc23268"/>
      <w:r>
        <w:rPr>
          <w:rFonts w:hint="eastAsia" w:ascii="方正楷体简体" w:hAnsi="方正楷体简体" w:eastAsia="方正楷体简体" w:cs="方正楷体简体"/>
        </w:rPr>
        <w:t>（四）马克隆值</w:t>
      </w:r>
      <w:r>
        <w:rPr>
          <w:rFonts w:hint="eastAsia" w:ascii="方正楷体简体" w:hAnsi="方正楷体简体" w:eastAsia="方正楷体简体" w:cs="方正楷体简体"/>
          <w:vertAlign w:val="superscript"/>
        </w:rPr>
        <w:footnoteReference w:id="7"/>
      </w:r>
      <w:bookmarkEnd w:id="7"/>
    </w:p>
    <w:p>
      <w:pPr>
        <w:pStyle w:val="23"/>
        <w:spacing w:line="576" w:lineRule="exact"/>
        <w:ind w:firstLine="622"/>
        <w:rPr>
          <w:rFonts w:ascii="方正仿宋简体" w:eastAsia="方正仿宋简体"/>
          <w:sz w:val="32"/>
        </w:rPr>
      </w:pPr>
      <w:r>
        <w:rPr>
          <w:rFonts w:hint="eastAsia" w:ascii="方正仿宋简体" w:eastAsia="方正仿宋简体"/>
          <w:sz w:val="32"/>
        </w:rPr>
        <w:t>马克隆值是棉花细度和成熟度的综合反映，是棉花主要的内在质量指标之一，与成纱质量有密切的关系。棉花的马</w:t>
      </w:r>
      <w:r>
        <w:rPr>
          <w:rFonts w:hint="eastAsia" w:ascii="方正仿宋简体" w:eastAsia="方正仿宋简体"/>
          <w:sz w:val="32"/>
          <w:szCs w:val="32"/>
        </w:rPr>
        <w:t>克隆值越高，一般棉纤维成熟度越好；马克隆值过高，则成熟过度，纤维较粗，纤维抱合力差、成纱强力和条干均匀度不理想；马克隆值过低、细度过小、成熟不足，则容易产生有害疵点，织物染色性能差；只有马克隆值适中，棉花的细度适中、成熟适中，才具有较高的纺纱性能，获得较全面的使用价值。</w:t>
      </w:r>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细绒棉的马克隆值共分为三级五档，按马克隆值从低到高依次是C级的C1档、B级的B1档、A级的A档、B级的B2档、C级的C2档。马克隆值级A级的使用价值较好，B级的使用价值正常，C级的使用价值较差。</w:t>
      </w:r>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highlight w:val="none"/>
        </w:rPr>
        <w:t>2017/2018年度，全国新体制棉花细绒</w:t>
      </w:r>
      <w:r>
        <w:rPr>
          <w:rFonts w:hint="eastAsia" w:ascii="方正仿宋简体" w:eastAsia="方正仿宋简体"/>
          <w:sz w:val="32"/>
          <w:szCs w:val="32"/>
        </w:rPr>
        <w:t>棉马克隆值级A级占比15.1</w:t>
      </w:r>
      <w:r>
        <w:rPr>
          <w:rFonts w:hint="eastAsia" w:ascii="方正仿宋简体" w:eastAsia="方正仿宋简体"/>
          <w:sz w:val="32"/>
          <w:szCs w:val="32"/>
          <w:lang w:val="en-US" w:eastAsia="zh-CN"/>
        </w:rPr>
        <w:t>5</w:t>
      </w:r>
      <w:r>
        <w:rPr>
          <w:rFonts w:hint="eastAsia" w:ascii="方正仿宋简体" w:eastAsia="方正仿宋简体"/>
          <w:sz w:val="32"/>
          <w:szCs w:val="32"/>
        </w:rPr>
        <w:t>%，较上年度提高2.8</w:t>
      </w:r>
      <w:r>
        <w:rPr>
          <w:rFonts w:hint="eastAsia" w:ascii="方正仿宋简体" w:eastAsia="方正仿宋简体"/>
          <w:sz w:val="32"/>
          <w:szCs w:val="32"/>
          <w:lang w:val="en-US" w:eastAsia="zh-CN"/>
        </w:rPr>
        <w:t>3</w:t>
      </w:r>
      <w:r>
        <w:rPr>
          <w:rFonts w:hint="eastAsia" w:ascii="方正仿宋简体" w:eastAsia="方正仿宋简体"/>
          <w:sz w:val="32"/>
          <w:szCs w:val="32"/>
        </w:rPr>
        <w:t>个百分点；C级占比20.3</w:t>
      </w:r>
      <w:r>
        <w:rPr>
          <w:rFonts w:hint="eastAsia" w:ascii="方正仿宋简体" w:eastAsia="方正仿宋简体"/>
          <w:sz w:val="32"/>
          <w:szCs w:val="32"/>
          <w:lang w:val="en-US" w:eastAsia="zh-CN"/>
        </w:rPr>
        <w:t>8</w:t>
      </w:r>
      <w:r>
        <w:rPr>
          <w:rFonts w:hint="eastAsia" w:ascii="方正仿宋简体" w:eastAsia="方正仿宋简体"/>
          <w:sz w:val="32"/>
          <w:szCs w:val="32"/>
        </w:rPr>
        <w:t>%，较上年度降低0.2</w:t>
      </w:r>
      <w:r>
        <w:rPr>
          <w:rFonts w:hint="eastAsia" w:ascii="方正仿宋简体" w:eastAsia="方正仿宋简体"/>
          <w:sz w:val="32"/>
          <w:szCs w:val="32"/>
          <w:lang w:val="en-US" w:eastAsia="zh-CN"/>
        </w:rPr>
        <w:t>0</w:t>
      </w:r>
      <w:r>
        <w:rPr>
          <w:rFonts w:hint="eastAsia" w:ascii="方正仿宋简体" w:eastAsia="方正仿宋简体"/>
          <w:sz w:val="32"/>
          <w:szCs w:val="32"/>
        </w:rPr>
        <w:t>个百分点；B级占比64.47%，较上年度降低2.64个百分点。总体来看，各产棉省份中，甘肃、新疆的棉花马克隆值较好，A档占比均高于全国平均水平；天津、河北棉花C2档占比分别达到84.58%、78.2</w:t>
      </w:r>
      <w:r>
        <w:rPr>
          <w:rFonts w:hint="eastAsia" w:ascii="方正仿宋简体" w:eastAsia="方正仿宋简体"/>
          <w:sz w:val="32"/>
          <w:szCs w:val="32"/>
          <w:lang w:val="en-US" w:eastAsia="zh-CN"/>
        </w:rPr>
        <w:t>9</w:t>
      </w:r>
      <w:r>
        <w:rPr>
          <w:rFonts w:hint="eastAsia" w:ascii="方正仿宋简体" w:eastAsia="方正仿宋简体"/>
          <w:sz w:val="32"/>
          <w:szCs w:val="32"/>
        </w:rPr>
        <w:t>%，棉纤维细度值过大、成熟过度问题突出，马克隆值指标最差（见图2-8）。</w:t>
      </w:r>
    </w:p>
    <w:p>
      <w:pPr>
        <w:pStyle w:val="23"/>
        <w:ind w:left="-606" w:leftChars="-300" w:firstLine="0" w:firstLineChars="0"/>
        <w:rPr>
          <w:rFonts w:ascii="仿宋_GB2312" w:eastAsia="仿宋_GB2312"/>
          <w:sz w:val="32"/>
          <w:szCs w:val="32"/>
        </w:rPr>
      </w:pPr>
      <w:r>
        <w:rPr>
          <w:rFonts w:ascii="仿宋_GB2312" w:eastAsia="仿宋_GB2312"/>
          <w:sz w:val="32"/>
          <w:szCs w:val="32"/>
        </w:rPr>
        <w:drawing>
          <wp:inline distT="0" distB="0" distL="0" distR="0">
            <wp:extent cx="6410325" cy="4991100"/>
            <wp:effectExtent l="0" t="0" r="9525" b="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对比近5个年度的数据，2017/2018年度马克隆值指标较上一年度有所提升，马克隆值A档占比15.5</w:t>
      </w:r>
      <w:r>
        <w:rPr>
          <w:rFonts w:hint="eastAsia" w:ascii="方正仿宋简体" w:eastAsia="方正仿宋简体"/>
          <w:sz w:val="32"/>
          <w:lang w:val="en-US" w:eastAsia="zh-CN"/>
        </w:rPr>
        <w:t>5</w:t>
      </w:r>
      <w:r>
        <w:rPr>
          <w:rFonts w:hint="eastAsia" w:ascii="方正仿宋简体" w:eastAsia="方正仿宋简体"/>
          <w:sz w:val="32"/>
        </w:rPr>
        <w:t>%，A档和B档占比79.6</w:t>
      </w:r>
      <w:r>
        <w:rPr>
          <w:rFonts w:hint="eastAsia" w:ascii="方正仿宋简体" w:eastAsia="方正仿宋简体"/>
          <w:sz w:val="32"/>
          <w:lang w:val="en-US" w:eastAsia="zh-CN"/>
        </w:rPr>
        <w:t>2</w:t>
      </w:r>
      <w:r>
        <w:rPr>
          <w:rFonts w:hint="eastAsia" w:ascii="方正仿宋简体" w:eastAsia="方正仿宋简体"/>
          <w:sz w:val="32"/>
        </w:rPr>
        <w:t>%，仅次于2014/2015年度水平（见图2-9）。</w:t>
      </w:r>
    </w:p>
    <w:p>
      <w:pPr>
        <w:pStyle w:val="23"/>
        <w:ind w:firstLine="0" w:firstLineChars="0"/>
        <w:rPr>
          <w:rFonts w:ascii="仿宋_GB2312" w:eastAsia="仿宋_GB2312"/>
          <w:sz w:val="32"/>
        </w:rPr>
      </w:pPr>
      <w:r>
        <w:rPr>
          <w:rFonts w:ascii="仿宋_GB2312" w:eastAsia="仿宋_GB2312"/>
          <w:sz w:val="32"/>
        </w:rPr>
        <w:drawing>
          <wp:inline distT="0" distB="0" distL="0" distR="0">
            <wp:extent cx="5486400" cy="4914900"/>
            <wp:effectExtent l="0" t="0" r="0" b="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3"/>
        <w:spacing w:before="0" w:after="0" w:line="576" w:lineRule="exact"/>
        <w:ind w:firstLine="622"/>
        <w:rPr>
          <w:rFonts w:hint="eastAsia" w:ascii="方正楷体简体" w:hAnsi="方正楷体简体" w:eastAsia="方正楷体简体" w:cs="方正楷体简体"/>
        </w:rPr>
      </w:pPr>
      <w:bookmarkStart w:id="8" w:name="_Toc5895"/>
      <w:r>
        <w:rPr>
          <w:rFonts w:hint="eastAsia" w:ascii="方正楷体简体" w:hAnsi="方正楷体简体" w:eastAsia="方正楷体简体" w:cs="方正楷体简体"/>
        </w:rPr>
        <w:t>（五）断裂比强度</w:t>
      </w:r>
      <w:r>
        <w:rPr>
          <w:rFonts w:hint="eastAsia" w:ascii="方正楷体简体" w:hAnsi="方正楷体简体" w:eastAsia="方正楷体简体" w:cs="方正楷体简体"/>
          <w:vertAlign w:val="superscript"/>
        </w:rPr>
        <w:footnoteReference w:id="8"/>
      </w:r>
      <w:bookmarkEnd w:id="8"/>
    </w:p>
    <w:p>
      <w:pPr>
        <w:pStyle w:val="23"/>
        <w:spacing w:line="576" w:lineRule="exact"/>
        <w:ind w:firstLine="622"/>
        <w:rPr>
          <w:rFonts w:ascii="方正仿宋简体" w:eastAsia="方正仿宋简体"/>
          <w:sz w:val="32"/>
        </w:rPr>
      </w:pPr>
      <w:r>
        <w:rPr>
          <w:rFonts w:hint="eastAsia" w:ascii="方正仿宋简体" w:eastAsia="方正仿宋简体"/>
          <w:sz w:val="32"/>
        </w:rPr>
        <w:t>断裂比强度是重要的棉花内在质量指标，与纱线的成纱强力有很好的相关性。细绒棉按断裂比强度值和使用价值从高到低依次分五个档，即很强、强、中等、差、很差。</w:t>
      </w:r>
    </w:p>
    <w:p>
      <w:pPr>
        <w:pStyle w:val="23"/>
        <w:spacing w:line="576" w:lineRule="exact"/>
        <w:ind w:firstLine="622"/>
        <w:jc w:val="left"/>
        <w:rPr>
          <w:rFonts w:ascii="方正仿宋简体" w:eastAsia="方正仿宋简体"/>
          <w:sz w:val="32"/>
        </w:rPr>
      </w:pPr>
      <w:r>
        <w:rPr>
          <w:rFonts w:hint="eastAsia" w:ascii="方正仿宋简体" w:eastAsia="方正仿宋简体"/>
          <w:sz w:val="32"/>
        </w:rPr>
        <w:t>2017/2018年度，全国新体制棉花细绒棉平均断裂比强度值28.03cN/tex，较上年度提高了0.09cN/tex。</w:t>
      </w:r>
    </w:p>
    <w:p>
      <w:pPr>
        <w:pStyle w:val="23"/>
        <w:ind w:left="-606" w:leftChars="-300" w:firstLine="0" w:firstLineChars="0"/>
        <w:jc w:val="left"/>
        <w:rPr>
          <w:rFonts w:ascii="仿宋_GB2312" w:eastAsia="仿宋_GB2312"/>
          <w:sz w:val="32"/>
        </w:rPr>
      </w:pPr>
      <w:r>
        <w:rPr>
          <w:rFonts w:ascii="仿宋_GB2312" w:eastAsia="仿宋_GB2312"/>
          <w:sz w:val="32"/>
        </w:rPr>
        <w:drawing>
          <wp:inline distT="0" distB="0" distL="0" distR="0">
            <wp:extent cx="6515100" cy="4391025"/>
            <wp:effectExtent l="0" t="0" r="0" b="9525"/>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各产棉省份中，甘肃棉花平均断裂比强度最高为29.74cN/tex，较上一年度提高0.36cN/tex；江苏棉花平均断裂比强度提高最多，提高了0.4</w:t>
      </w:r>
      <w:r>
        <w:rPr>
          <w:rFonts w:hint="eastAsia" w:ascii="方正仿宋简体" w:eastAsia="方正仿宋简体"/>
          <w:sz w:val="32"/>
          <w:lang w:val="en-US" w:eastAsia="zh-CN"/>
        </w:rPr>
        <w:t>1</w:t>
      </w:r>
      <w:r>
        <w:rPr>
          <w:rFonts w:hint="eastAsia" w:ascii="方正仿宋简体" w:eastAsia="方正仿宋简体"/>
          <w:sz w:val="32"/>
        </w:rPr>
        <w:t>cN/tex，达到29.1</w:t>
      </w:r>
      <w:r>
        <w:rPr>
          <w:rFonts w:hint="eastAsia" w:ascii="方正仿宋简体" w:eastAsia="方正仿宋简体"/>
          <w:sz w:val="32"/>
          <w:lang w:val="en-US" w:eastAsia="zh-CN"/>
        </w:rPr>
        <w:t>7</w:t>
      </w:r>
      <w:r>
        <w:rPr>
          <w:rFonts w:hint="eastAsia" w:ascii="方正仿宋简体" w:eastAsia="方正仿宋简体"/>
          <w:sz w:val="32"/>
        </w:rPr>
        <w:t>cN/tex；全国最主要产棉区新疆棉花的平均断裂比强度最低，为27.96cN/tex，但也较上一年度提高了0.13cN/tex；其他产棉区棉花平均断裂比强度均在全国平均线以上（见图2-10、图2-11）。</w:t>
      </w:r>
    </w:p>
    <w:p>
      <w:pPr>
        <w:pStyle w:val="23"/>
        <w:ind w:firstLine="0" w:firstLineChars="0"/>
        <w:rPr>
          <w:rFonts w:ascii="仿宋_GB2312" w:eastAsia="仿宋_GB2312"/>
          <w:sz w:val="32"/>
        </w:rPr>
      </w:pPr>
      <w:r>
        <w:rPr>
          <w:rFonts w:ascii="仿宋_GB2312" w:eastAsia="仿宋_GB2312"/>
          <w:sz w:val="32"/>
        </w:rPr>
        <w:drawing>
          <wp:inline distT="0" distB="0" distL="0" distR="0">
            <wp:extent cx="5486400" cy="4991100"/>
            <wp:effectExtent l="0" t="0" r="0" b="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23"/>
        <w:ind w:firstLine="622"/>
        <w:rPr>
          <w:rFonts w:ascii="方正仿宋简体" w:eastAsia="方正仿宋简体"/>
          <w:sz w:val="32"/>
        </w:rPr>
      </w:pPr>
    </w:p>
    <w:p>
      <w:pPr>
        <w:pStyle w:val="23"/>
        <w:ind w:firstLine="622"/>
        <w:rPr>
          <w:rFonts w:ascii="方正仿宋简体" w:eastAsia="方正仿宋简体"/>
          <w:sz w:val="32"/>
        </w:rPr>
      </w:pPr>
      <w:r>
        <w:rPr>
          <w:rFonts w:hint="eastAsia" w:ascii="方正仿宋简体" w:eastAsia="方正仿宋简体"/>
          <w:sz w:val="32"/>
        </w:rPr>
        <w:t>对比近5个年度的数据，2017/2018年度棉花断裂比强度指标较上一年度有所提升，强及以上占比28.2</w:t>
      </w:r>
      <w:r>
        <w:rPr>
          <w:rFonts w:hint="eastAsia" w:ascii="方正仿宋简体" w:eastAsia="方正仿宋简体"/>
          <w:sz w:val="32"/>
          <w:lang w:val="en-US" w:eastAsia="zh-CN"/>
        </w:rPr>
        <w:t>3</w:t>
      </w:r>
      <w:r>
        <w:rPr>
          <w:rFonts w:hint="eastAsia" w:ascii="方正仿宋简体" w:eastAsia="方正仿宋简体"/>
          <w:sz w:val="32"/>
        </w:rPr>
        <w:t>%，较上一年度提高了1.8</w:t>
      </w:r>
      <w:r>
        <w:rPr>
          <w:rFonts w:hint="eastAsia" w:ascii="方正仿宋简体" w:eastAsia="方正仿宋简体"/>
          <w:sz w:val="32"/>
          <w:lang w:val="en-US" w:eastAsia="zh-CN"/>
        </w:rPr>
        <w:t>3</w:t>
      </w:r>
      <w:r>
        <w:rPr>
          <w:rFonts w:hint="eastAsia" w:ascii="方正仿宋简体" w:eastAsia="方正仿宋简体"/>
          <w:sz w:val="32"/>
        </w:rPr>
        <w:t>个百分点，中等占比基本持平。但平均断裂比强度较前四年平均值低了0.006cN/tex（见图2-12）。</w:t>
      </w:r>
    </w:p>
    <w:p>
      <w:pPr>
        <w:pStyle w:val="23"/>
        <w:ind w:firstLine="0" w:firstLineChars="0"/>
        <w:rPr>
          <w:rFonts w:ascii="仿宋_GB2312" w:eastAsia="仿宋_GB2312"/>
          <w:sz w:val="32"/>
        </w:rPr>
      </w:pPr>
      <w:r>
        <w:rPr>
          <w:rFonts w:ascii="仿宋_GB2312" w:eastAsia="仿宋_GB2312"/>
          <w:sz w:val="32"/>
        </w:rPr>
        <w:drawing>
          <wp:inline distT="0" distB="0" distL="0" distR="0">
            <wp:extent cx="5686425" cy="5429250"/>
            <wp:effectExtent l="0" t="0" r="9525" b="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3"/>
        <w:spacing w:before="0" w:after="0" w:line="576" w:lineRule="exact"/>
        <w:ind w:firstLine="622"/>
        <w:rPr>
          <w:rFonts w:hint="eastAsia" w:ascii="方正楷体简体" w:hAnsi="方正楷体简体" w:eastAsia="方正楷体简体" w:cs="方正楷体简体"/>
        </w:rPr>
      </w:pPr>
      <w:bookmarkStart w:id="9" w:name="_Toc18935"/>
      <w:r>
        <w:rPr>
          <w:rFonts w:hint="eastAsia" w:ascii="方正楷体简体" w:hAnsi="方正楷体简体" w:eastAsia="方正楷体简体" w:cs="方正楷体简体"/>
        </w:rPr>
        <w:t>（六）长度整齐度指数</w:t>
      </w:r>
      <w:r>
        <w:rPr>
          <w:rFonts w:hint="eastAsia" w:ascii="方正楷体简体" w:hAnsi="方正楷体简体" w:eastAsia="方正楷体简体" w:cs="方正楷体简体"/>
          <w:vertAlign w:val="superscript"/>
        </w:rPr>
        <w:footnoteReference w:id="9"/>
      </w:r>
      <w:bookmarkEnd w:id="9"/>
    </w:p>
    <w:p>
      <w:pPr>
        <w:pStyle w:val="23"/>
        <w:spacing w:line="576" w:lineRule="exact"/>
        <w:ind w:firstLine="622"/>
        <w:rPr>
          <w:rFonts w:ascii="方正仿宋简体" w:eastAsia="方正仿宋简体"/>
          <w:sz w:val="32"/>
        </w:rPr>
      </w:pPr>
      <w:r>
        <w:rPr>
          <w:rFonts w:hint="eastAsia" w:ascii="方正仿宋简体" w:eastAsia="方正仿宋简体"/>
          <w:sz w:val="32"/>
        </w:rPr>
        <w:t>长度整齐度指数是重要的棉花质量指标，用以表示棉纤维长度分布均匀或整齐的程度，对纱线的条干、落棉率有重要影响，同时对纱线的强度也有影响。细绒棉按长度整齐度指数和使用价值从高到低依次分为五个档，分别是很高、高、中等、低、很低。</w:t>
      </w:r>
    </w:p>
    <w:p>
      <w:pPr>
        <w:pStyle w:val="23"/>
        <w:ind w:left="-404" w:leftChars="-200" w:firstLine="0" w:firstLineChars="0"/>
        <w:rPr>
          <w:rFonts w:ascii="仿宋_GB2312" w:eastAsia="仿宋_GB2312"/>
          <w:sz w:val="32"/>
        </w:rPr>
      </w:pPr>
      <w:r>
        <w:rPr>
          <w:rFonts w:ascii="仿宋_GB2312" w:eastAsia="仿宋_GB2312"/>
          <w:sz w:val="32"/>
        </w:rPr>
        <w:drawing>
          <wp:inline distT="0" distB="0" distL="0" distR="0">
            <wp:extent cx="6286500" cy="5001260"/>
            <wp:effectExtent l="0" t="0" r="0" b="889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2017/2018年度，全国新体制棉花细绒棉平均长度整齐度指数82.49%，比上一年度低0.42个百分点。甘肃棉花平均长度整齐度指数最高，为83.14%，高和很高占比达到60.04%，表现较为突出；其次是天津、河北、江苏、山东、新疆，高和很高占比都在20%以上；安徽、湖南棉花长度整齐度指数为中等的占比较多，均为80%以上；湖北棉花长度整齐度指数为低及很低的占比明显多于其他省份（见图2-13）。</w:t>
      </w:r>
    </w:p>
    <w:p>
      <w:pPr>
        <w:pStyle w:val="23"/>
        <w:ind w:firstLine="622"/>
        <w:rPr>
          <w:rFonts w:ascii="方正仿宋简体" w:eastAsia="方正仿宋简体"/>
          <w:color w:val="FF0000"/>
          <w:sz w:val="32"/>
        </w:rPr>
      </w:pPr>
      <w:r>
        <w:rPr>
          <w:rFonts w:ascii="方正仿宋简体" w:eastAsia="方正仿宋简体"/>
          <w:color w:val="FF0000"/>
          <w:sz w:val="32"/>
        </w:rPr>
        <w:drawing>
          <wp:inline distT="0" distB="0" distL="0" distR="0">
            <wp:extent cx="5486400" cy="5867400"/>
            <wp:effectExtent l="0" t="0" r="0" b="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23"/>
        <w:spacing w:line="576" w:lineRule="exact"/>
        <w:ind w:firstLine="622"/>
        <w:rPr>
          <w:rFonts w:ascii="方正仿宋简体" w:eastAsia="方正仿宋简体"/>
          <w:sz w:val="32"/>
        </w:rPr>
      </w:pPr>
      <w:r>
        <w:rPr>
          <w:rFonts w:hint="eastAsia" w:ascii="方正仿宋简体" w:eastAsia="方正仿宋简体"/>
          <w:sz w:val="32"/>
        </w:rPr>
        <w:t>各产棉省份中，除甘肃、江苏外，各地棉花长度整齐度指数均有不同程度的降低，其中全国最主要产棉区新疆在本年度平均长度整齐度指数为82.50%，比上一年度低0.43个百分点；湖南、湖北棉花长度整齐度指数较上一年度降低明显。总体来说，各产棉区棉花长度整齐度指标波动较大（见图2-14）。</w:t>
      </w:r>
    </w:p>
    <w:p>
      <w:pPr>
        <w:pStyle w:val="23"/>
        <w:spacing w:line="576" w:lineRule="exact"/>
        <w:ind w:firstLine="622"/>
        <w:rPr>
          <w:rFonts w:ascii="仿宋_GB2312" w:eastAsia="仿宋_GB2312"/>
          <w:sz w:val="32"/>
        </w:rPr>
      </w:pPr>
      <w:r>
        <w:rPr>
          <w:rFonts w:hint="eastAsia" w:ascii="方正仿宋简体" w:eastAsia="方正仿宋简体"/>
          <w:sz w:val="32"/>
        </w:rPr>
        <w:t>2017/2018年度全国棉花长度整齐度指数较上一年度有所下滑，其中平均长度整齐度指数为82.49%，低及以下档的占比1.43%，高及以上档的占比33.78%（见图2-15）。</w:t>
      </w:r>
    </w:p>
    <w:p>
      <w:pPr>
        <w:pStyle w:val="23"/>
        <w:ind w:firstLine="0" w:firstLineChars="0"/>
        <w:rPr>
          <w:rFonts w:ascii="仿宋_GB2312" w:eastAsia="仿宋_GB2312"/>
          <w:sz w:val="32"/>
        </w:rPr>
      </w:pPr>
      <w:r>
        <w:rPr>
          <w:rFonts w:ascii="仿宋_GB2312" w:eastAsia="仿宋_GB2312"/>
          <w:sz w:val="32"/>
        </w:rPr>
        <w:drawing>
          <wp:inline distT="0" distB="0" distL="0" distR="0">
            <wp:extent cx="5762625" cy="4514850"/>
            <wp:effectExtent l="0" t="0" r="9525"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3"/>
        <w:spacing w:before="0" w:after="0" w:line="576" w:lineRule="exact"/>
        <w:ind w:firstLine="622"/>
        <w:rPr>
          <w:rFonts w:hint="eastAsia" w:ascii="方正楷体简体" w:hAnsi="方正楷体简体" w:eastAsia="方正楷体简体" w:cs="方正楷体简体"/>
        </w:rPr>
      </w:pPr>
      <w:bookmarkStart w:id="10" w:name="_Toc18641"/>
      <w:r>
        <w:rPr>
          <w:rFonts w:hint="eastAsia" w:ascii="方正楷体简体" w:hAnsi="方正楷体简体" w:eastAsia="方正楷体简体" w:cs="方正楷体简体"/>
        </w:rPr>
        <w:t>（七）综合评价</w:t>
      </w:r>
      <w:bookmarkEnd w:id="10"/>
    </w:p>
    <w:p>
      <w:pPr>
        <w:pStyle w:val="23"/>
        <w:spacing w:line="576" w:lineRule="exact"/>
        <w:ind w:firstLine="622"/>
        <w:rPr>
          <w:rFonts w:ascii="方正仿宋简体" w:eastAsia="方正仿宋简体"/>
          <w:sz w:val="32"/>
        </w:rPr>
      </w:pPr>
      <w:r>
        <w:rPr>
          <w:rFonts w:hint="eastAsia" w:ascii="方正仿宋简体" w:eastAsia="方正仿宋简体"/>
          <w:sz w:val="32"/>
        </w:rPr>
        <w:t>2017/2018年度全国新体制棉花细绒棉综合质量有所提升。从颜色和轧工质量来看，颜色级指标区域化差异较为明显，近年来各区域检验量占比逐渐趋于稳定，因此颜色级指标变化不大，以白棉为主，且绝大多数都集中在白棉2级与白棉3级两档。轧工质量主要集中在中档，中档及以上占比达到98.67%。从纤维长度来看，平均长度基本与上年持平，但平均长度整齐度指数有所下降，其中，长度指标体现在30-32毫米长度级与28-29毫米长度级的棉花</w:t>
      </w:r>
      <w:r>
        <w:rPr>
          <w:rFonts w:hint="eastAsia" w:ascii="方正仿宋简体" w:eastAsia="方正仿宋简体"/>
          <w:sz w:val="32"/>
          <w:lang w:eastAsia="zh-CN"/>
        </w:rPr>
        <w:t>占比与</w:t>
      </w:r>
      <w:r>
        <w:rPr>
          <w:rFonts w:hint="eastAsia" w:ascii="方正仿宋简体" w:eastAsia="方正仿宋简体"/>
          <w:sz w:val="32"/>
        </w:rPr>
        <w:t>上一年度</w:t>
      </w:r>
      <w:r>
        <w:rPr>
          <w:rFonts w:hint="eastAsia" w:ascii="方正仿宋简体" w:eastAsia="方正仿宋简体"/>
          <w:sz w:val="32"/>
          <w:lang w:eastAsia="zh-CN"/>
        </w:rPr>
        <w:t>相当</w:t>
      </w:r>
      <w:r>
        <w:rPr>
          <w:rFonts w:hint="eastAsia" w:ascii="方正仿宋简体" w:eastAsia="方正仿宋简体"/>
          <w:sz w:val="32"/>
        </w:rPr>
        <w:t>，较</w:t>
      </w:r>
      <w:r>
        <w:rPr>
          <w:rFonts w:hint="eastAsia" w:ascii="方正仿宋简体" w:eastAsia="方正仿宋简体"/>
          <w:sz w:val="32"/>
          <w:lang w:val="en-US" w:eastAsia="zh-CN"/>
        </w:rPr>
        <w:t>2015/2016年度有</w:t>
      </w:r>
      <w:r>
        <w:rPr>
          <w:rFonts w:hint="eastAsia" w:ascii="方正仿宋简体" w:eastAsia="方正仿宋简体"/>
          <w:sz w:val="32"/>
        </w:rPr>
        <w:t>大幅增加。从纤维内在品质来看，马克隆值和断裂比强度两项指标表现均较为良好；其中，马克隆值指标较上一年度再度提升，A级占比明显增加，C2档过成熟棉占比减少；平均断裂比强度指标回升，强及以上棉花占比提高</w:t>
      </w:r>
      <w:r>
        <w:rPr>
          <w:rFonts w:hint="eastAsia" w:ascii="方正仿宋简体" w:eastAsia="方正仿宋简体"/>
          <w:sz w:val="32"/>
          <w:lang w:eastAsia="zh-CN"/>
        </w:rPr>
        <w:t>，达到</w:t>
      </w:r>
      <w:r>
        <w:rPr>
          <w:rFonts w:hint="eastAsia" w:ascii="方正仿宋简体" w:eastAsia="方正仿宋简体"/>
          <w:sz w:val="32"/>
          <w:lang w:val="en-US" w:eastAsia="zh-CN"/>
        </w:rPr>
        <w:t>28.23%</w:t>
      </w:r>
      <w:r>
        <w:rPr>
          <w:rFonts w:hint="eastAsia" w:ascii="方正仿宋简体" w:eastAsia="方正仿宋简体"/>
          <w:sz w:val="32"/>
        </w:rPr>
        <w:t>。作为全国最大棉花产区新疆2017/2018年度棉花各项质量指标与上年度相比，平均长度降低0.02毫米、平均长度整齐度指数降低0.43个百分点、马克隆值A+B级占比增加了1.57个百分点、平均断裂比强度提高0.13cN/tex，总体内在质量状况好于2016/2017年度。</w:t>
      </w:r>
    </w:p>
    <w:p>
      <w:pPr>
        <w:pStyle w:val="2"/>
        <w:spacing w:before="0" w:beforeAutospacing="0" w:after="0" w:afterAutospacing="0" w:line="576" w:lineRule="exact"/>
        <w:ind w:firstLine="622"/>
        <w:jc w:val="both"/>
        <w:rPr>
          <w:rFonts w:ascii="黑体" w:hAnsi="黑体" w:eastAsia="黑体"/>
          <w:b w:val="0"/>
          <w:sz w:val="32"/>
          <w:highlight w:val="none"/>
        </w:rPr>
      </w:pPr>
      <w:bookmarkStart w:id="11" w:name="_Toc23607"/>
      <w:r>
        <w:rPr>
          <w:rFonts w:hint="eastAsia" w:ascii="黑体" w:hAnsi="黑体" w:eastAsia="黑体"/>
          <w:b w:val="0"/>
          <w:sz w:val="32"/>
          <w:highlight w:val="none"/>
        </w:rPr>
        <w:t>四、质量影响因素分析</w:t>
      </w:r>
      <w:bookmarkEnd w:id="11"/>
    </w:p>
    <w:p>
      <w:pPr>
        <w:pStyle w:val="23"/>
        <w:spacing w:line="576" w:lineRule="exact"/>
        <w:ind w:firstLine="622"/>
        <w:rPr>
          <w:rFonts w:ascii="方正仿宋简体" w:eastAsia="方正仿宋简体"/>
          <w:sz w:val="32"/>
        </w:rPr>
      </w:pPr>
      <w:r>
        <w:rPr>
          <w:rFonts w:hint="eastAsia" w:ascii="方正仿宋简体" w:eastAsia="方正仿宋简体"/>
          <w:sz w:val="32"/>
        </w:rPr>
        <w:t>综合各地的情况来看，影响本年度棉花质量变化的因素主要包括自然条件、产业政策、市场形势、生产环节等几个方面。</w:t>
      </w:r>
    </w:p>
    <w:p>
      <w:pPr>
        <w:pStyle w:val="3"/>
        <w:spacing w:before="0" w:after="0" w:line="576" w:lineRule="exact"/>
        <w:ind w:firstLine="622"/>
        <w:rPr>
          <w:rFonts w:hint="eastAsia" w:ascii="方正楷体简体" w:hAnsi="方正楷体简体" w:eastAsia="方正楷体简体" w:cs="方正楷体简体"/>
        </w:rPr>
      </w:pPr>
      <w:bookmarkStart w:id="12" w:name="_Toc11607"/>
      <w:r>
        <w:rPr>
          <w:rFonts w:hint="eastAsia" w:ascii="方正楷体简体" w:hAnsi="方正楷体简体" w:eastAsia="方正楷体简体" w:cs="方正楷体简体"/>
        </w:rPr>
        <w:t>（一）自然条件</w:t>
      </w:r>
      <w:bookmarkEnd w:id="12"/>
    </w:p>
    <w:p>
      <w:pPr>
        <w:pStyle w:val="23"/>
        <w:spacing w:line="576" w:lineRule="exact"/>
        <w:ind w:firstLine="622"/>
        <w:rPr>
          <w:rFonts w:hint="eastAsia" w:ascii="方正仿宋简体" w:eastAsia="方正仿宋简体"/>
          <w:sz w:val="32"/>
        </w:rPr>
      </w:pPr>
      <w:r>
        <w:rPr>
          <w:rFonts w:hint="eastAsia" w:ascii="方正仿宋简体" w:eastAsia="方正仿宋简体"/>
          <w:sz w:val="32"/>
        </w:rPr>
        <w:t>地理位置的气候特点和年度内的气候变化是影响棉花质量波动的决定性因素。据分析，201</w:t>
      </w:r>
      <w:r>
        <w:rPr>
          <w:rFonts w:hint="eastAsia" w:ascii="方正仿宋简体" w:eastAsia="方正仿宋简体"/>
          <w:sz w:val="32"/>
          <w:lang w:val="en-US" w:eastAsia="zh-CN"/>
        </w:rPr>
        <w:t>7</w:t>
      </w:r>
      <w:r>
        <w:rPr>
          <w:rFonts w:hint="eastAsia" w:ascii="方正仿宋简体" w:eastAsia="方正仿宋简体"/>
          <w:sz w:val="32"/>
        </w:rPr>
        <w:t>年，在播种及幼苗生长阶段，新疆棉区降水及大风沙尘天气影响棉花播种出苗；黄河流域棉区热量良好，但华北中南部晴热少雨导致部分棉区旱情显现；长江流域棉区多雨影响棉花播种进度。在蕾铃期，南疆棉区气象条件利于棉花生长，但北疆降水偏多影响棉花现蕾开花</w:t>
      </w:r>
      <w:r>
        <w:rPr>
          <w:rFonts w:hint="eastAsia" w:ascii="方正仿宋简体" w:eastAsia="方正仿宋简体"/>
          <w:sz w:val="32"/>
          <w:lang w:eastAsia="zh-CN"/>
        </w:rPr>
        <w:t>；</w:t>
      </w:r>
      <w:r>
        <w:rPr>
          <w:rFonts w:hint="eastAsia" w:ascii="方正仿宋简体" w:eastAsia="方正仿宋简体"/>
          <w:sz w:val="32"/>
        </w:rPr>
        <w:t>黄河流域棉区大部光温适宜，出现明显降水，缓解了山东、河北等地的旱情，利于棉花现蕾</w:t>
      </w:r>
      <w:r>
        <w:rPr>
          <w:rFonts w:hint="eastAsia" w:ascii="方正仿宋简体" w:eastAsia="方正仿宋简体"/>
          <w:sz w:val="32"/>
          <w:lang w:eastAsia="zh-CN"/>
        </w:rPr>
        <w:t>；</w:t>
      </w:r>
      <w:r>
        <w:rPr>
          <w:rFonts w:hint="eastAsia" w:ascii="方正仿宋简体" w:eastAsia="方正仿宋简体"/>
          <w:sz w:val="32"/>
        </w:rPr>
        <w:t>江淮江汉棉区气象条件利于棉花生长发育，但江南棉区阴雨寡照影响棉花长势，强降水导致部分低洼棉田被淹。在裂铃吐絮和采摘期，新疆和黄河流域棉区大部气象条件总体较好，利于棉花后期生长、裂铃吐絮和采摘</w:t>
      </w:r>
      <w:r>
        <w:rPr>
          <w:rFonts w:hint="eastAsia" w:ascii="方正仿宋简体" w:eastAsia="方正仿宋简体"/>
          <w:sz w:val="32"/>
          <w:lang w:eastAsia="zh-CN"/>
        </w:rPr>
        <w:t>；</w:t>
      </w:r>
      <w:r>
        <w:rPr>
          <w:rFonts w:hint="eastAsia" w:ascii="方正仿宋简体" w:eastAsia="方正仿宋简体"/>
          <w:sz w:val="32"/>
        </w:rPr>
        <w:t>仅北疆等地棉区下旬出现强降水和霜冻天气，棉花生长受到一定影响</w:t>
      </w:r>
      <w:r>
        <w:rPr>
          <w:rFonts w:hint="eastAsia" w:ascii="方正仿宋简体" w:eastAsia="方正仿宋简体"/>
          <w:sz w:val="32"/>
          <w:lang w:eastAsia="zh-CN"/>
        </w:rPr>
        <w:t>；长江</w:t>
      </w:r>
      <w:r>
        <w:rPr>
          <w:rFonts w:hint="eastAsia" w:ascii="方正仿宋简体" w:eastAsia="方正仿宋简体"/>
          <w:sz w:val="32"/>
        </w:rPr>
        <w:t>棉区月内气象条件总体利于棉花裂铃及秋桃生长，但江淮江汉棉区持续阴雨寡照天气不利棉花裂铃吐絮，导致烂铃烂桃增加。</w:t>
      </w:r>
    </w:p>
    <w:p>
      <w:pPr>
        <w:pStyle w:val="3"/>
        <w:spacing w:before="0" w:after="0" w:line="576" w:lineRule="exact"/>
        <w:ind w:firstLine="622"/>
        <w:rPr>
          <w:rFonts w:hint="eastAsia" w:ascii="方正楷体简体" w:hAnsi="方正楷体简体" w:eastAsia="方正楷体简体" w:cs="方正楷体简体"/>
          <w:highlight w:val="yellow"/>
        </w:rPr>
      </w:pPr>
      <w:bookmarkStart w:id="13" w:name="_Toc9843"/>
      <w:r>
        <w:rPr>
          <w:rFonts w:hint="eastAsia" w:ascii="方正楷体简体" w:hAnsi="方正楷体简体" w:eastAsia="方正楷体简体" w:cs="方正楷体简体"/>
          <w:highlight w:val="none"/>
        </w:rPr>
        <w:t>（二）产业政策</w:t>
      </w:r>
      <w:bookmarkEnd w:id="13"/>
    </w:p>
    <w:p>
      <w:pPr>
        <w:spacing w:line="580" w:lineRule="exact"/>
        <w:ind w:firstLine="624" w:firstLineChars="200"/>
        <w:rPr>
          <w:rFonts w:hint="eastAsia" w:ascii="仿宋_GB2312" w:eastAsia="仿宋_GB2312"/>
          <w:bCs/>
          <w:sz w:val="32"/>
          <w:szCs w:val="32"/>
          <w:lang w:eastAsia="zh-CN"/>
        </w:rPr>
      </w:pPr>
      <w:r>
        <w:rPr>
          <w:rFonts w:hint="eastAsia" w:ascii="方正仿宋简体" w:hAnsi="仿宋" w:eastAsia="方正仿宋简体"/>
          <w:color w:val="000000"/>
          <w:kern w:val="0"/>
          <w:sz w:val="32"/>
          <w:szCs w:val="32"/>
        </w:rPr>
        <w:t>2017年3月17日，国家发改委、财政部联合印发《关于深化棉花目标价格改革的通知》（发改价格〔2017〕516号），将棉花目标价格由试点期间的“一年一定”改为“三年一定”，有力地引导了棉农预期，保障了棉花产量和质量的稳定。</w:t>
      </w:r>
      <w:r>
        <w:rPr>
          <w:rFonts w:hint="eastAsia" w:ascii="方正仿宋简体" w:hAnsi="仿宋" w:eastAsia="方正仿宋简体"/>
          <w:color w:val="000000"/>
          <w:kern w:val="0"/>
          <w:sz w:val="32"/>
          <w:szCs w:val="32"/>
          <w:lang w:eastAsia="zh-CN"/>
        </w:rPr>
        <w:t>深化棉花</w:t>
      </w:r>
      <w:r>
        <w:rPr>
          <w:rFonts w:hint="eastAsia" w:ascii="仿宋_GB2312" w:hAnsi="仿宋" w:eastAsia="仿宋_GB2312"/>
          <w:color w:val="000000"/>
          <w:kern w:val="0"/>
          <w:sz w:val="32"/>
          <w:szCs w:val="32"/>
        </w:rPr>
        <w:t>目标价格</w:t>
      </w:r>
      <w:r>
        <w:rPr>
          <w:rFonts w:hint="eastAsia" w:ascii="仿宋_GB2312" w:hAnsi="仿宋" w:eastAsia="仿宋_GB2312"/>
          <w:color w:val="000000"/>
          <w:kern w:val="0"/>
          <w:sz w:val="32"/>
          <w:szCs w:val="32"/>
          <w:lang w:eastAsia="zh-CN"/>
        </w:rPr>
        <w:t>改革</w:t>
      </w:r>
      <w:r>
        <w:rPr>
          <w:rFonts w:hint="eastAsia" w:ascii="仿宋_GB2312" w:hAnsi="仿宋" w:eastAsia="仿宋_GB2312"/>
          <w:color w:val="000000"/>
          <w:kern w:val="0"/>
          <w:sz w:val="32"/>
          <w:szCs w:val="32"/>
        </w:rPr>
        <w:t>政策，一是</w:t>
      </w:r>
      <w:r>
        <w:rPr>
          <w:rFonts w:hint="eastAsia" w:ascii="仿宋_GB2312" w:hAnsi="仿宋" w:eastAsia="仿宋_GB2312"/>
          <w:color w:val="000000"/>
          <w:kern w:val="0"/>
          <w:sz w:val="32"/>
          <w:szCs w:val="32"/>
          <w:lang w:eastAsia="zh-CN"/>
        </w:rPr>
        <w:t>深化</w:t>
      </w:r>
      <w:r>
        <w:rPr>
          <w:rFonts w:hint="eastAsia" w:ascii="仿宋_GB2312" w:hAnsi="仿宋" w:eastAsia="仿宋_GB2312"/>
          <w:color w:val="000000"/>
          <w:kern w:val="0"/>
          <w:sz w:val="32"/>
          <w:szCs w:val="32"/>
        </w:rPr>
        <w:t>了</w:t>
      </w:r>
      <w:r>
        <w:rPr>
          <w:rFonts w:ascii="仿宋_GB2312" w:hAnsi="仿宋" w:eastAsia="仿宋_GB2312"/>
          <w:color w:val="000000"/>
          <w:kern w:val="0"/>
          <w:sz w:val="32"/>
          <w:szCs w:val="32"/>
        </w:rPr>
        <w:t>市场调控的“价补分离”</w:t>
      </w:r>
      <w:r>
        <w:rPr>
          <w:rFonts w:hint="eastAsia" w:ascii="仿宋_GB2312" w:hAnsi="仿宋" w:eastAsia="仿宋_GB2312"/>
          <w:color w:val="000000"/>
          <w:kern w:val="0"/>
          <w:sz w:val="32"/>
          <w:szCs w:val="32"/>
        </w:rPr>
        <w:t>，</w:t>
      </w:r>
      <w:r>
        <w:rPr>
          <w:rFonts w:ascii="仿宋_GB2312" w:hAnsi="仿宋" w:eastAsia="仿宋_GB2312"/>
          <w:color w:val="000000"/>
          <w:kern w:val="0"/>
          <w:sz w:val="32"/>
          <w:szCs w:val="32"/>
        </w:rPr>
        <w:t xml:space="preserve"> 充分发挥市场机制在价格形成和资源配置中的决定性作用</w:t>
      </w:r>
      <w:r>
        <w:rPr>
          <w:rFonts w:hint="eastAsia" w:ascii="仿宋_GB2312" w:hAnsi="仿宋" w:eastAsia="仿宋_GB2312"/>
          <w:color w:val="000000"/>
          <w:kern w:val="0"/>
          <w:sz w:val="32"/>
          <w:szCs w:val="32"/>
        </w:rPr>
        <w:t>，</w:t>
      </w:r>
      <w:r>
        <w:rPr>
          <w:rFonts w:ascii="仿宋_GB2312" w:hAnsi="仿宋" w:eastAsia="仿宋_GB2312"/>
          <w:color w:val="000000"/>
          <w:kern w:val="0"/>
          <w:sz w:val="32"/>
          <w:szCs w:val="32"/>
        </w:rPr>
        <w:t>有利于产业上下游协调发展</w:t>
      </w:r>
      <w:r>
        <w:rPr>
          <w:rFonts w:hint="eastAsia" w:ascii="仿宋_GB2312" w:hAnsi="仿宋" w:eastAsia="仿宋_GB2312"/>
          <w:color w:val="000000"/>
          <w:kern w:val="0"/>
          <w:sz w:val="32"/>
          <w:szCs w:val="32"/>
        </w:rPr>
        <w:t>，对</w:t>
      </w:r>
      <w:r>
        <w:rPr>
          <w:rFonts w:ascii="仿宋_GB2312" w:hAnsi="仿宋" w:eastAsia="仿宋_GB2312"/>
          <w:color w:val="000000"/>
          <w:kern w:val="0"/>
          <w:sz w:val="32"/>
          <w:szCs w:val="32"/>
        </w:rPr>
        <w:t>加快产业升级具有积极的作用。</w:t>
      </w:r>
      <w:r>
        <w:rPr>
          <w:rFonts w:hint="eastAsia" w:ascii="仿宋_GB2312" w:hAnsi="仿宋" w:eastAsia="仿宋_GB2312"/>
          <w:color w:val="000000"/>
          <w:kern w:val="0"/>
          <w:sz w:val="32"/>
          <w:szCs w:val="32"/>
        </w:rPr>
        <w:t>二是实现了更精准的保本有余。国家将专项补贴资金通过基层政府直接发给农民，不再有中间环节漏损，也不再产生储备棉库存费用和利息支出，资金补贴效率大幅提高。三是将棉农和棉企推向市场，立足“消费导向”引导棉农生产棉企加工，提高用棉企业在市场交易中的话语权，从长远来看，有助于棉农</w:t>
      </w:r>
      <w:r>
        <w:rPr>
          <w:rFonts w:ascii="仿宋_GB2312" w:hAnsi="仿宋" w:eastAsia="仿宋_GB2312"/>
          <w:color w:val="000000"/>
          <w:kern w:val="0"/>
          <w:sz w:val="32"/>
          <w:szCs w:val="32"/>
        </w:rPr>
        <w:t>改变观念，采取科学的种植技术，提高</w:t>
      </w:r>
      <w:r>
        <w:rPr>
          <w:rFonts w:hint="eastAsia" w:ascii="仿宋_GB2312" w:hAnsi="仿宋" w:eastAsia="仿宋_GB2312"/>
          <w:color w:val="000000"/>
          <w:kern w:val="0"/>
          <w:sz w:val="32"/>
          <w:szCs w:val="32"/>
        </w:rPr>
        <w:t>籽棉质量</w:t>
      </w:r>
      <w:r>
        <w:rPr>
          <w:rFonts w:ascii="仿宋_GB2312" w:hAnsi="仿宋" w:eastAsia="仿宋_GB2312"/>
          <w:color w:val="000000"/>
          <w:kern w:val="0"/>
          <w:sz w:val="32"/>
          <w:szCs w:val="32"/>
        </w:rPr>
        <w:t>，</w:t>
      </w:r>
      <w:r>
        <w:rPr>
          <w:rFonts w:hint="eastAsia" w:ascii="仿宋_GB2312" w:hAnsi="仿宋" w:eastAsia="仿宋_GB2312"/>
          <w:color w:val="000000"/>
          <w:kern w:val="0"/>
          <w:sz w:val="32"/>
          <w:szCs w:val="32"/>
        </w:rPr>
        <w:t>有助于加工企业在加剧的市场竞争中提升质量意识，加强质量把控，填补我国高品质棉需求缺口。</w:t>
      </w:r>
      <w:r>
        <w:rPr>
          <w:rFonts w:hint="eastAsia" w:ascii="仿宋_GB2312" w:eastAsia="仿宋_GB2312"/>
          <w:bCs/>
          <w:sz w:val="32"/>
          <w:szCs w:val="32"/>
        </w:rPr>
        <w:t>四是</w:t>
      </w:r>
      <w:r>
        <w:rPr>
          <w:rFonts w:hint="eastAsia" w:ascii="仿宋_GB2312" w:eastAsia="仿宋_GB2312"/>
          <w:bCs/>
          <w:sz w:val="32"/>
          <w:szCs w:val="32"/>
          <w:lang w:eastAsia="zh-CN"/>
        </w:rPr>
        <w:t>“</w:t>
      </w:r>
      <w:r>
        <w:rPr>
          <w:rFonts w:hint="eastAsia" w:ascii="仿宋_GB2312" w:eastAsia="仿宋_GB2312"/>
          <w:bCs/>
          <w:sz w:val="32"/>
          <w:szCs w:val="32"/>
        </w:rPr>
        <w:t>专业仓储+在库公检”的制度措施和工作模式</w:t>
      </w:r>
      <w:r>
        <w:rPr>
          <w:rFonts w:hint="eastAsia" w:ascii="仿宋_GB2312" w:eastAsia="仿宋_GB2312"/>
          <w:bCs/>
          <w:sz w:val="32"/>
          <w:szCs w:val="32"/>
          <w:lang w:eastAsia="zh-CN"/>
        </w:rPr>
        <w:t>进一步完善深化，</w:t>
      </w:r>
      <w:r>
        <w:rPr>
          <w:rFonts w:hint="eastAsia" w:ascii="仿宋_GB2312" w:eastAsia="仿宋_GB2312"/>
          <w:bCs/>
          <w:sz w:val="32"/>
          <w:szCs w:val="32"/>
        </w:rPr>
        <w:t>有效避免和杜绝了不良棉花加工企业样品造假的行为，使公证检验结果的权威性和公信度得以提升，棉花质量真实性得到有效增强</w:t>
      </w:r>
      <w:r>
        <w:rPr>
          <w:rFonts w:hint="eastAsia" w:ascii="仿宋_GB2312" w:eastAsia="仿宋_GB2312"/>
          <w:bCs/>
          <w:sz w:val="32"/>
          <w:szCs w:val="32"/>
          <w:lang w:eastAsia="zh-CN"/>
        </w:rPr>
        <w:t>，</w:t>
      </w:r>
      <w:r>
        <w:rPr>
          <w:rFonts w:hint="eastAsia" w:ascii="仿宋_GB2312" w:eastAsia="仿宋_GB2312"/>
          <w:bCs/>
          <w:sz w:val="32"/>
          <w:szCs w:val="32"/>
        </w:rPr>
        <w:t>通过棉花集中监管、包包公检，入库公检制度倒逼棉花加工企业提高棉花收购、加工质量。</w:t>
      </w:r>
      <w:r>
        <w:rPr>
          <w:rFonts w:hint="eastAsia" w:ascii="仿宋_GB2312" w:eastAsia="仿宋_GB2312"/>
          <w:bCs/>
          <w:sz w:val="32"/>
          <w:szCs w:val="32"/>
          <w:lang w:eastAsia="zh-CN"/>
        </w:rPr>
        <w:t>五是试点实行补贴与质量挂钩，将棉花质量意识传导到棉农，进一步从农业生产上增强棉花质量。</w:t>
      </w:r>
    </w:p>
    <w:p>
      <w:pPr>
        <w:pStyle w:val="3"/>
        <w:spacing w:before="0" w:after="0" w:line="576" w:lineRule="exact"/>
        <w:ind w:firstLine="622"/>
        <w:rPr>
          <w:rFonts w:hint="eastAsia" w:ascii="方正楷体简体" w:hAnsi="方正楷体简体" w:eastAsia="方正楷体简体" w:cs="方正楷体简体"/>
        </w:rPr>
      </w:pPr>
      <w:bookmarkStart w:id="14" w:name="_Toc2645"/>
      <w:r>
        <w:rPr>
          <w:rFonts w:hint="eastAsia" w:ascii="方正楷体简体" w:hAnsi="方正楷体简体" w:eastAsia="方正楷体简体" w:cs="方正楷体简体"/>
        </w:rPr>
        <w:t>（三）市场形势</w:t>
      </w:r>
      <w:bookmarkEnd w:id="14"/>
    </w:p>
    <w:p>
      <w:pPr>
        <w:spacing w:line="580" w:lineRule="exact"/>
        <w:ind w:firstLine="624" w:firstLineChars="200"/>
        <w:rPr>
          <w:rFonts w:hint="eastAsia" w:ascii="仿宋_GB2312" w:eastAsia="仿宋_GB2312"/>
          <w:bCs/>
          <w:sz w:val="32"/>
          <w:szCs w:val="32"/>
          <w:lang w:val="en-US" w:eastAsia="zh-CN"/>
        </w:rPr>
      </w:pPr>
      <w:r>
        <w:rPr>
          <w:rFonts w:hint="eastAsia" w:ascii="仿宋_GB2312" w:eastAsia="仿宋_GB2312"/>
          <w:bCs/>
          <w:sz w:val="32"/>
          <w:szCs w:val="32"/>
        </w:rPr>
        <w:t>201</w:t>
      </w:r>
      <w:r>
        <w:rPr>
          <w:rFonts w:hint="eastAsia" w:ascii="仿宋_GB2312" w:eastAsia="仿宋_GB2312"/>
          <w:bCs/>
          <w:sz w:val="32"/>
          <w:szCs w:val="32"/>
          <w:lang w:val="en-US" w:eastAsia="zh-CN"/>
        </w:rPr>
        <w:t>7</w:t>
      </w:r>
      <w:r>
        <w:rPr>
          <w:rFonts w:hint="eastAsia" w:ascii="仿宋_GB2312" w:eastAsia="仿宋_GB2312"/>
          <w:bCs/>
          <w:sz w:val="32"/>
          <w:szCs w:val="32"/>
        </w:rPr>
        <w:t>/201</w:t>
      </w:r>
      <w:r>
        <w:rPr>
          <w:rFonts w:hint="eastAsia" w:ascii="仿宋_GB2312" w:eastAsia="仿宋_GB2312"/>
          <w:bCs/>
          <w:sz w:val="32"/>
          <w:szCs w:val="32"/>
          <w:lang w:val="en-US" w:eastAsia="zh-CN"/>
        </w:rPr>
        <w:t>8</w:t>
      </w:r>
      <w:r>
        <w:rPr>
          <w:rFonts w:hint="eastAsia" w:ascii="仿宋_GB2312" w:eastAsia="仿宋_GB2312"/>
          <w:bCs/>
          <w:sz w:val="32"/>
          <w:szCs w:val="32"/>
        </w:rPr>
        <w:t>年度，</w:t>
      </w:r>
      <w:r>
        <w:rPr>
          <w:rFonts w:hint="eastAsia" w:ascii="仿宋_GB2312" w:eastAsia="仿宋_GB2312"/>
          <w:bCs/>
          <w:sz w:val="32"/>
          <w:szCs w:val="32"/>
          <w:lang w:eastAsia="zh-CN"/>
        </w:rPr>
        <w:t>受美国发动贸易战等因素影响，全球经济前景蒙上阴影，世界经济协同发力、均衡增长的良好局面逐渐离去，驱动经济增长的力量呈现耗散态势。全球棉花产不足需，市场供求关系进一步走向平衡，中国棉花产需缺口再度收窄。随着</w:t>
      </w:r>
      <w:r>
        <w:rPr>
          <w:rFonts w:hint="eastAsia" w:ascii="仿宋_GB2312" w:eastAsia="仿宋_GB2312"/>
          <w:bCs/>
          <w:sz w:val="32"/>
          <w:szCs w:val="32"/>
          <w:lang w:val="en-US" w:eastAsia="zh-CN"/>
        </w:rPr>
        <w:t>2017/2018年度后期外部经贸环境发生较大改变，全球棉花纺织及服装产业链将进入新的调整阶段。国内外经贸环境趋于降温，风险加大，复杂程度增加，不确定性增强。随着贸易战不断升级，下游纺织企业心态现实感增强，幻想降低，部分订单不如预期，多方面预期的落空，加重了市场压力。</w:t>
      </w:r>
    </w:p>
    <w:p>
      <w:pPr>
        <w:pStyle w:val="3"/>
        <w:spacing w:before="0" w:after="0" w:line="576" w:lineRule="exact"/>
        <w:ind w:firstLine="622"/>
        <w:rPr>
          <w:rFonts w:hint="eastAsia" w:ascii="方正楷体简体" w:hAnsi="方正楷体简体" w:eastAsia="方正楷体简体" w:cs="方正楷体简体"/>
        </w:rPr>
      </w:pPr>
      <w:bookmarkStart w:id="15" w:name="_Toc29432"/>
      <w:r>
        <w:rPr>
          <w:rFonts w:hint="eastAsia" w:ascii="方正楷体简体" w:hAnsi="方正楷体简体" w:eastAsia="方正楷体简体" w:cs="方正楷体简体"/>
        </w:rPr>
        <w:t>（四）生产环节</w:t>
      </w:r>
      <w:bookmarkEnd w:id="15"/>
    </w:p>
    <w:p>
      <w:pPr>
        <w:pStyle w:val="23"/>
        <w:spacing w:line="576" w:lineRule="exact"/>
        <w:ind w:firstLine="622"/>
        <w:rPr>
          <w:rFonts w:ascii="方正仿宋简体" w:eastAsia="方正仿宋简体"/>
          <w:b/>
          <w:sz w:val="32"/>
          <w:szCs w:val="32"/>
        </w:rPr>
      </w:pPr>
      <w:r>
        <w:rPr>
          <w:rFonts w:hint="eastAsia" w:ascii="方正仿宋简体" w:eastAsia="方正仿宋简体"/>
          <w:b/>
          <w:sz w:val="32"/>
          <w:szCs w:val="32"/>
        </w:rPr>
        <w:t>1.品种影响</w:t>
      </w:r>
    </w:p>
    <w:p>
      <w:pPr>
        <w:pStyle w:val="23"/>
        <w:spacing w:line="576" w:lineRule="exact"/>
        <w:ind w:firstLine="622"/>
        <w:rPr>
          <w:rFonts w:hint="eastAsia" w:ascii="方正仿宋简体" w:eastAsia="方正仿宋简体"/>
          <w:sz w:val="32"/>
          <w:lang w:eastAsia="zh-CN"/>
        </w:rPr>
      </w:pPr>
      <w:r>
        <w:rPr>
          <w:rFonts w:hint="eastAsia" w:ascii="方正仿宋简体" w:eastAsia="方正仿宋简体"/>
          <w:sz w:val="32"/>
        </w:rPr>
        <w:t>品种是影响棉花质量的主要内在因素。我国的棉花品种繁多但优良性状突出的比较少，加之近年来</w:t>
      </w:r>
      <w:r>
        <w:rPr>
          <w:rFonts w:hint="eastAsia" w:ascii="方正仿宋简体" w:eastAsia="方正仿宋简体"/>
          <w:color w:val="000000" w:themeColor="text1"/>
          <w:sz w:val="32"/>
          <w14:textFill>
            <w14:solidFill>
              <w14:schemeClr w14:val="tx1"/>
            </w14:solidFill>
          </w14:textFill>
        </w:rPr>
        <w:t>供种渠道不断增加，品种更新换代加速，</w:t>
      </w:r>
      <w:r>
        <w:rPr>
          <w:rFonts w:hint="eastAsia" w:ascii="方正仿宋简体" w:eastAsia="方正仿宋简体"/>
          <w:sz w:val="32"/>
        </w:rPr>
        <w:t>种植品种混乱的问题很大程度上影响棉花的质量。但随着深化棉花目标价格补贴</w:t>
      </w:r>
      <w:r>
        <w:rPr>
          <w:rFonts w:hint="eastAsia" w:ascii="方正仿宋简体" w:eastAsia="方正仿宋简体"/>
          <w:sz w:val="32"/>
          <w:lang w:eastAsia="zh-CN"/>
        </w:rPr>
        <w:t>和补贴与质量挂钩</w:t>
      </w:r>
      <w:r>
        <w:rPr>
          <w:rFonts w:hint="eastAsia" w:ascii="方正仿宋简体" w:eastAsia="方正仿宋简体"/>
          <w:sz w:val="32"/>
        </w:rPr>
        <w:t>政策</w:t>
      </w:r>
      <w:r>
        <w:rPr>
          <w:rFonts w:hint="eastAsia" w:ascii="方正仿宋简体" w:eastAsia="方正仿宋简体"/>
          <w:sz w:val="32"/>
          <w:lang w:eastAsia="zh-CN"/>
        </w:rPr>
        <w:t>的推进</w:t>
      </w:r>
      <w:r>
        <w:rPr>
          <w:rFonts w:hint="eastAsia" w:ascii="方正仿宋简体" w:eastAsia="方正仿宋简体"/>
          <w:sz w:val="32"/>
        </w:rPr>
        <w:t>，棉花市场化进程不断得到推进，已有部分棉农注意到纺织企业配棉的需求，认识到不同棉花品种的内在纤维品质有很大区别，不再片面追求单产高、衣分高、抗病虫、色泽好的品种，开始注重棉花内在品质，棉花一致性不断得到加强。同时，</w:t>
      </w:r>
      <w:r>
        <w:rPr>
          <w:rFonts w:hint="eastAsia" w:ascii="方正仿宋简体" w:eastAsia="方正仿宋简体"/>
          <w:sz w:val="32"/>
          <w:lang w:eastAsia="zh-CN"/>
        </w:rPr>
        <w:t>随着</w:t>
      </w:r>
      <w:r>
        <w:rPr>
          <w:rFonts w:hint="eastAsia" w:ascii="方正仿宋简体" w:eastAsia="方正仿宋简体"/>
          <w:sz w:val="32"/>
        </w:rPr>
        <w:t>新疆机采棉</w:t>
      </w:r>
      <w:r>
        <w:rPr>
          <w:rFonts w:hint="eastAsia" w:ascii="方正仿宋简体" w:eastAsia="方正仿宋简体"/>
          <w:sz w:val="32"/>
          <w:lang w:eastAsia="zh-CN"/>
        </w:rPr>
        <w:t>的逐步推广，机采棉品种和采摘方式研究的逐步深入，机采棉质量得到大幅提升，但在品种的始果始节、成熟期等方面还有一定的提升空间。</w:t>
      </w:r>
    </w:p>
    <w:p>
      <w:pPr>
        <w:pStyle w:val="23"/>
        <w:spacing w:line="576" w:lineRule="exact"/>
        <w:ind w:firstLine="622"/>
        <w:rPr>
          <w:rFonts w:ascii="方正仿宋简体" w:eastAsia="方正仿宋简体"/>
          <w:b/>
          <w:sz w:val="32"/>
          <w:szCs w:val="32"/>
        </w:rPr>
      </w:pPr>
      <w:r>
        <w:rPr>
          <w:rFonts w:hint="eastAsia" w:ascii="方正仿宋简体" w:eastAsia="方正仿宋简体"/>
          <w:b/>
          <w:sz w:val="32"/>
          <w:szCs w:val="32"/>
        </w:rPr>
        <w:t>2.栽培管理与交售流通环节的影响</w:t>
      </w:r>
    </w:p>
    <w:p>
      <w:pPr>
        <w:pStyle w:val="23"/>
        <w:spacing w:line="576" w:lineRule="exact"/>
        <w:ind w:firstLine="622"/>
        <w:rPr>
          <w:rFonts w:ascii="方正仿宋简体" w:eastAsia="方正仿宋简体"/>
          <w:sz w:val="32"/>
        </w:rPr>
      </w:pPr>
      <w:r>
        <w:rPr>
          <w:rFonts w:hint="eastAsia" w:ascii="方正仿宋简体" w:eastAsia="方正仿宋简体"/>
          <w:sz w:val="32"/>
        </w:rPr>
        <w:t>棉花栽培管理过程中，</w:t>
      </w:r>
      <w:r>
        <w:rPr>
          <w:rFonts w:hint="eastAsia" w:ascii="方正仿宋简体" w:eastAsia="方正仿宋简体"/>
          <w:sz w:val="32"/>
          <w:lang w:eastAsia="zh-CN"/>
        </w:rPr>
        <w:t>棉花的质量效益赶不上产量效益，</w:t>
      </w:r>
      <w:r>
        <w:rPr>
          <w:rFonts w:hint="eastAsia" w:ascii="方正仿宋简体" w:eastAsia="方正仿宋简体"/>
          <w:sz w:val="32"/>
        </w:rPr>
        <w:t>棉农追求高密度、</w:t>
      </w:r>
      <w:r>
        <w:rPr>
          <w:rFonts w:hint="eastAsia" w:ascii="方正仿宋简体" w:eastAsia="方正仿宋简体"/>
          <w:sz w:val="32"/>
          <w:lang w:eastAsia="zh-CN"/>
        </w:rPr>
        <w:t>高产量的棉花品种，</w:t>
      </w:r>
      <w:r>
        <w:rPr>
          <w:rFonts w:hint="eastAsia" w:ascii="方正仿宋简体" w:eastAsia="方正仿宋简体"/>
          <w:sz w:val="32"/>
        </w:rPr>
        <w:t>田间施肥种类单一，棉田残膜回收量甚少，或基本上不回收，导致残膜逐年增加，宜棉区耕地有限，棉田只能向非宜棉区扩张，加之劳力不足，管理粗放，并且我国多数区域棉田分散，规模化种植条件差，客观上导致质量指标的不一致。由于担心综合指标低的棉花卖不出去，棉农有意识的将优等棉花和低等棉花掺混在一起优劣混卖。形成资源浪费，造成棉花品质普遍中等偏下，高品质棉花匮乏。</w:t>
      </w:r>
    </w:p>
    <w:p>
      <w:pPr>
        <w:pStyle w:val="23"/>
        <w:spacing w:line="576" w:lineRule="exact"/>
        <w:ind w:firstLine="622"/>
        <w:rPr>
          <w:rFonts w:ascii="方正仿宋简体" w:eastAsia="方正仿宋简体"/>
          <w:b/>
          <w:sz w:val="32"/>
          <w:szCs w:val="32"/>
        </w:rPr>
      </w:pPr>
      <w:r>
        <w:rPr>
          <w:rFonts w:hint="eastAsia" w:ascii="方正仿宋简体" w:eastAsia="方正仿宋简体"/>
          <w:b/>
          <w:sz w:val="32"/>
          <w:szCs w:val="32"/>
        </w:rPr>
        <w:t>3.采摘方式的影响</w:t>
      </w:r>
    </w:p>
    <w:p>
      <w:pPr>
        <w:pStyle w:val="23"/>
        <w:spacing w:line="576" w:lineRule="exact"/>
        <w:ind w:firstLine="622"/>
        <w:rPr>
          <w:rFonts w:hint="eastAsia" w:ascii="方正仿宋简体" w:eastAsia="方正仿宋简体"/>
          <w:sz w:val="32"/>
          <w:lang w:eastAsia="zh-CN"/>
        </w:rPr>
      </w:pPr>
      <w:r>
        <w:rPr>
          <w:rFonts w:hint="eastAsia" w:ascii="方正仿宋简体" w:eastAsia="方正仿宋简体"/>
          <w:sz w:val="32"/>
        </w:rPr>
        <w:t>我国大部分棉区采用的还是传统的手摘方式。棉农采摘棉花时较为粗放，按数量采摘、分级存放意识差，采集方式随意性大。部分棉农习惯揪桃剥棉，个别地区甚至还有拔杆剥桃的现象；近年来随着用工成本的大幅上升，棉花采摘雇工困难，棉花早采现象严重，少数地区一次性采摘，未成熟的棉桃被采，造成棉花质量下降。同时，机采棉</w:t>
      </w:r>
      <w:r>
        <w:rPr>
          <w:rFonts w:hint="eastAsia" w:ascii="方正仿宋简体" w:eastAsia="方正仿宋简体"/>
          <w:sz w:val="32"/>
          <w:lang w:eastAsia="zh-CN"/>
        </w:rPr>
        <w:t>在新疆棉区</w:t>
      </w:r>
      <w:r>
        <w:rPr>
          <w:rFonts w:hint="eastAsia" w:ascii="方正仿宋简体" w:eastAsia="方正仿宋简体"/>
          <w:sz w:val="32"/>
        </w:rPr>
        <w:t>快速发展</w:t>
      </w:r>
      <w:r>
        <w:rPr>
          <w:rFonts w:hint="eastAsia" w:ascii="方正仿宋简体" w:eastAsia="方正仿宋简体"/>
          <w:sz w:val="32"/>
          <w:lang w:eastAsia="zh-CN"/>
        </w:rPr>
        <w:t>，</w:t>
      </w:r>
      <w:r>
        <w:rPr>
          <w:rFonts w:hint="eastAsia" w:ascii="方正仿宋简体" w:eastAsia="方正仿宋简体"/>
          <w:sz w:val="32"/>
        </w:rPr>
        <w:t>有效降低了生产成本，但也带来含杂多、“三丝”多等质量问题。由于机采棉在采收过程中，缺少对采收对象的选择性，极易将地膜残片等异性纤维一同收集，造成异性纤维增多、杂质偏大等问题。</w:t>
      </w:r>
    </w:p>
    <w:p>
      <w:pPr>
        <w:spacing w:line="576" w:lineRule="exact"/>
        <w:ind w:firstLine="615"/>
        <w:rPr>
          <w:rFonts w:ascii="方正仿宋简体" w:eastAsia="方正仿宋简体"/>
          <w:b/>
          <w:sz w:val="32"/>
          <w:szCs w:val="32"/>
        </w:rPr>
      </w:pPr>
      <w:r>
        <w:rPr>
          <w:rFonts w:hint="eastAsia" w:ascii="方正仿宋简体" w:eastAsia="方正仿宋简体"/>
          <w:b/>
          <w:sz w:val="32"/>
          <w:szCs w:val="32"/>
        </w:rPr>
        <w:t>4.棉花加工的影响</w:t>
      </w:r>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一方面由于棉企加工利润越来越小，出现劳动用工减少，质量管理不到位现象。一些企业加工过程中未正确处理好产量和质量的关系，轧工速度控制不当、排杂不彻底或不排，导致棉花长度严重损伤、短纤含量增加，同时含杂较高，棉结、索丝较多。另一方面随着棉花加工资格认定的取消，各类小包棉等无证企业有卷土重来之势，其质量意识淡薄，生产的小包棉多是白板包，一旦出现质量问题，不利于纺企维护权益，也不利于打击和追责。</w:t>
      </w:r>
    </w:p>
    <w:p>
      <w:pPr>
        <w:pStyle w:val="2"/>
        <w:spacing w:before="0" w:beforeAutospacing="0" w:after="0" w:afterAutospacing="0" w:line="576" w:lineRule="exact"/>
        <w:ind w:firstLine="622"/>
        <w:rPr>
          <w:rFonts w:ascii="黑体" w:hAnsi="黑体" w:eastAsia="黑体"/>
          <w:b w:val="0"/>
          <w:sz w:val="32"/>
          <w:szCs w:val="32"/>
        </w:rPr>
      </w:pPr>
      <w:bookmarkStart w:id="16" w:name="_Toc13926"/>
      <w:r>
        <w:rPr>
          <w:rFonts w:hint="eastAsia" w:ascii="黑体" w:hAnsi="黑体" w:eastAsia="黑体"/>
          <w:b w:val="0"/>
          <w:sz w:val="32"/>
          <w:szCs w:val="32"/>
        </w:rPr>
        <w:t>五、有关建议</w:t>
      </w:r>
      <w:bookmarkEnd w:id="16"/>
    </w:p>
    <w:p>
      <w:pPr>
        <w:pStyle w:val="23"/>
        <w:spacing w:line="576" w:lineRule="exact"/>
        <w:ind w:firstLine="622"/>
        <w:rPr>
          <w:rFonts w:ascii="方正仿宋简体" w:eastAsia="方正仿宋简体"/>
          <w:sz w:val="32"/>
          <w:szCs w:val="32"/>
        </w:rPr>
      </w:pPr>
      <w:r>
        <w:rPr>
          <w:rFonts w:hint="eastAsia" w:ascii="方正仿宋简体" w:eastAsia="方正仿宋简体"/>
          <w:sz w:val="32"/>
          <w:szCs w:val="32"/>
        </w:rPr>
        <w:t>为确保棉花加工质量的提高，防止棉花加工过程中质量破坏，保护棉花质量的稳定性和一致性，提高我国棉花的整体可纺性，针对上述质量指标检验结果和影响因素作出如下建议：</w:t>
      </w:r>
    </w:p>
    <w:p>
      <w:pPr>
        <w:pStyle w:val="3"/>
        <w:spacing w:before="0" w:after="0" w:line="576" w:lineRule="exact"/>
        <w:ind w:firstLine="667" w:firstLineChars="214"/>
        <w:rPr>
          <w:rFonts w:hint="eastAsia" w:ascii="方正楷体简体" w:hAnsi="方正楷体简体" w:eastAsia="方正楷体简体" w:cs="方正楷体简体"/>
          <w:lang w:eastAsia="zh-CN"/>
        </w:rPr>
      </w:pPr>
      <w:bookmarkStart w:id="17" w:name="_Toc1421"/>
      <w:r>
        <w:rPr>
          <w:rFonts w:hint="eastAsia" w:ascii="方正楷体简体" w:hAnsi="方正楷体简体" w:eastAsia="方正楷体简体" w:cs="方正楷体简体"/>
        </w:rPr>
        <w:t>（一）继续完善宏观调控政策</w:t>
      </w:r>
      <w:r>
        <w:rPr>
          <w:rFonts w:hint="eastAsia" w:ascii="方正楷体简体" w:hAnsi="方正楷体简体" w:eastAsia="方正楷体简体" w:cs="方正楷体简体"/>
          <w:lang w:eastAsia="zh-CN"/>
        </w:rPr>
        <w:t>，促进市场健康有序发展</w:t>
      </w:r>
      <w:bookmarkEnd w:id="17"/>
    </w:p>
    <w:p>
      <w:pPr>
        <w:pStyle w:val="23"/>
        <w:spacing w:line="576" w:lineRule="exact"/>
        <w:ind w:firstLine="622"/>
        <w:rPr>
          <w:rFonts w:ascii="方正仿宋简体" w:eastAsia="方正仿宋简体"/>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实践证明，目标价格补贴政策的实施可以调整产业布局，优化产业结构，缓解国储库存压力，减轻财政负担，起到稳定生产、保障棉农利益、促进下游纺织企业健康发展的作用。</w:t>
      </w:r>
      <w:r>
        <w:rPr>
          <w:rFonts w:hint="eastAsia" w:ascii="方正仿宋简体" w:eastAsia="方正仿宋简体"/>
          <w:color w:val="000000" w:themeColor="text1"/>
          <w:sz w:val="32"/>
          <w14:textFill>
            <w14:solidFill>
              <w14:schemeClr w14:val="tx1"/>
            </w14:solidFill>
          </w14:textFill>
        </w:rPr>
        <w:t>应进一步完善宏观调控政策，依托</w:t>
      </w:r>
      <w:r>
        <w:rPr>
          <w:rFonts w:hint="eastAsia" w:ascii="方正仿宋简体" w:eastAsia="方正仿宋简体"/>
          <w:color w:val="000000" w:themeColor="text1"/>
          <w:sz w:val="32"/>
          <w:lang w:eastAsia="zh-CN"/>
          <w14:textFill>
            <w14:solidFill>
              <w14:schemeClr w14:val="tx1"/>
            </w14:solidFill>
          </w14:textFill>
        </w:rPr>
        <w:t>深化棉花目标价格改革和稳定预期，</w:t>
      </w:r>
      <w:r>
        <w:rPr>
          <w:rFonts w:hint="eastAsia" w:ascii="方正仿宋简体" w:eastAsia="方正仿宋简体"/>
          <w:color w:val="000000" w:themeColor="text1"/>
          <w:sz w:val="32"/>
          <w14:textFill>
            <w14:solidFill>
              <w14:schemeClr w14:val="tx1"/>
            </w14:solidFill>
          </w14:textFill>
        </w:rPr>
        <w:t>鼓励棉农种植高品质、高质量的棉花，引导棉花生产向优势产区集中，发展规模化种植、专业化管理的新模式，充分发挥市场资源配置作用。</w:t>
      </w:r>
      <w:r>
        <w:rPr>
          <w:rFonts w:hint="eastAsia" w:ascii="方正仿宋简体" w:hAnsi="仿宋" w:eastAsia="方正仿宋简体"/>
          <w:color w:val="000000" w:themeColor="text1"/>
          <w:sz w:val="32"/>
          <w:szCs w:val="32"/>
          <w14:textFill>
            <w14:solidFill>
              <w14:schemeClr w14:val="tx1"/>
            </w14:solidFill>
          </w14:textFill>
        </w:rPr>
        <w:t>推动质量与补贴挂钩试点落实到位，以质量数据为核心理顺种植者追溯机制，提高配套措施的可操作性。</w:t>
      </w:r>
      <w:r>
        <w:rPr>
          <w:rFonts w:hint="eastAsia" w:ascii="方正仿宋简体" w:eastAsia="方正仿宋简体"/>
          <w:color w:val="000000" w:themeColor="text1"/>
          <w:sz w:val="32"/>
          <w:lang w:eastAsia="zh-CN"/>
          <w14:textFill>
            <w14:solidFill>
              <w14:schemeClr w14:val="tx1"/>
            </w14:solidFill>
          </w14:textFill>
        </w:rPr>
        <w:t>同时</w:t>
      </w:r>
      <w:r>
        <w:rPr>
          <w:rFonts w:hint="eastAsia" w:ascii="方正仿宋简体" w:hAnsi="宋体" w:eastAsia="方正仿宋简体"/>
          <w:color w:val="000000"/>
          <w:sz w:val="32"/>
          <w:szCs w:val="32"/>
        </w:rPr>
        <w:t>，</w:t>
      </w:r>
      <w:r>
        <w:rPr>
          <w:rFonts w:hint="eastAsia" w:ascii="方正仿宋简体" w:hAnsi="宋体" w:eastAsia="方正仿宋简体"/>
          <w:color w:val="000000"/>
          <w:sz w:val="32"/>
          <w:szCs w:val="32"/>
          <w:lang w:eastAsia="zh-CN"/>
        </w:rPr>
        <w:t>要做好</w:t>
      </w:r>
      <w:r>
        <w:rPr>
          <w:rFonts w:hint="eastAsia" w:ascii="方正仿宋简体" w:hAnsi="宋体" w:eastAsia="方正仿宋简体"/>
          <w:color w:val="000000"/>
          <w:sz w:val="32"/>
          <w:szCs w:val="32"/>
        </w:rPr>
        <w:t>棉花加工市场准入机制取消后</w:t>
      </w:r>
      <w:r>
        <w:rPr>
          <w:rFonts w:hint="eastAsia" w:ascii="方正仿宋简体" w:hAnsi="宋体" w:eastAsia="方正仿宋简体"/>
          <w:color w:val="000000"/>
          <w:sz w:val="32"/>
          <w:szCs w:val="32"/>
          <w:lang w:eastAsia="zh-CN"/>
        </w:rPr>
        <w:t>的监管工作</w:t>
      </w:r>
      <w:r>
        <w:rPr>
          <w:rFonts w:hint="eastAsia" w:ascii="方正仿宋简体" w:hAnsi="宋体" w:eastAsia="方正仿宋简体"/>
          <w:color w:val="000000"/>
          <w:sz w:val="32"/>
          <w:szCs w:val="32"/>
        </w:rPr>
        <w:t>，</w:t>
      </w:r>
      <w:r>
        <w:rPr>
          <w:rFonts w:hint="eastAsia" w:ascii="方正仿宋简体" w:eastAsia="方正仿宋简体"/>
          <w:color w:val="000000" w:themeColor="text1"/>
          <w:sz w:val="32"/>
          <w14:textFill>
            <w14:solidFill>
              <w14:schemeClr w14:val="tx1"/>
            </w14:solidFill>
          </w14:textFill>
        </w:rPr>
        <w:t>通过市场的良性竞争过滤“两小一土”加工企业，引导形成与质量挂钩的棉花价格，以纺织企业需求倒逼出好棉花。</w:t>
      </w:r>
    </w:p>
    <w:p>
      <w:pPr>
        <w:pStyle w:val="3"/>
        <w:spacing w:before="0" w:after="0" w:line="576" w:lineRule="exact"/>
        <w:ind w:firstLine="667" w:firstLineChars="214"/>
        <w:rPr>
          <w:rFonts w:hint="eastAsia" w:ascii="方正楷体简体" w:hAnsi="方正楷体简体" w:eastAsia="方正楷体简体" w:cs="方正楷体简体"/>
          <w:lang w:eastAsia="zh-CN"/>
        </w:rPr>
      </w:pPr>
      <w:bookmarkStart w:id="18" w:name="_Toc22394"/>
      <w:r>
        <w:rPr>
          <w:rFonts w:hint="eastAsia" w:ascii="方正楷体简体" w:hAnsi="方正楷体简体" w:eastAsia="方正楷体简体" w:cs="方正楷体简体"/>
        </w:rPr>
        <w:t>（二）发挥质量大数据作用，</w:t>
      </w:r>
      <w:r>
        <w:rPr>
          <w:rFonts w:hint="eastAsia" w:ascii="方正楷体简体" w:hAnsi="方正楷体简体" w:eastAsia="方正楷体简体" w:cs="方正楷体简体"/>
          <w:lang w:eastAsia="zh-CN"/>
        </w:rPr>
        <w:t>促进信息互联互通</w:t>
      </w:r>
      <w:bookmarkEnd w:id="18"/>
    </w:p>
    <w:p>
      <w:pPr>
        <w:pStyle w:val="23"/>
        <w:spacing w:line="576" w:lineRule="exact"/>
        <w:ind w:firstLine="622"/>
        <w:rPr>
          <w:rFonts w:hint="eastAsia" w:ascii="方正仿宋简体" w:eastAsia="方正仿宋简体"/>
          <w:color w:val="000000" w:themeColor="text1"/>
          <w:sz w:val="32"/>
          <w:lang w:eastAsia="zh-CN"/>
          <w14:textFill>
            <w14:solidFill>
              <w14:schemeClr w14:val="tx1"/>
            </w14:solidFill>
          </w14:textFill>
        </w:rPr>
      </w:pPr>
      <w:r>
        <w:rPr>
          <w:rFonts w:hint="eastAsia" w:ascii="方正仿宋简体" w:hAnsi="仿宋" w:eastAsia="方正仿宋简体"/>
          <w:sz w:val="32"/>
          <w:szCs w:val="32"/>
        </w:rPr>
        <w:t>深入挖掘纤维质量公证检验大数据作用</w:t>
      </w:r>
      <w:r>
        <w:rPr>
          <w:rFonts w:hint="eastAsia" w:ascii="方正仿宋简体" w:hAnsi="仿宋" w:eastAsia="方正仿宋简体"/>
          <w:sz w:val="32"/>
          <w:szCs w:val="32"/>
          <w:lang w:eastAsia="zh-CN"/>
        </w:rPr>
        <w:t>，</w:t>
      </w:r>
      <w:r>
        <w:rPr>
          <w:rFonts w:hint="eastAsia" w:ascii="方正仿宋简体" w:hAnsi="仿宋" w:eastAsia="方正仿宋简体"/>
          <w:sz w:val="32"/>
          <w:szCs w:val="32"/>
        </w:rPr>
        <w:t>更好服务纤维产业供给侧结构性改革。</w:t>
      </w:r>
      <w:r>
        <w:rPr>
          <w:rFonts w:hint="eastAsia" w:ascii="方正仿宋简体" w:eastAsia="方正仿宋简体"/>
          <w:color w:val="000000" w:themeColor="text1"/>
          <w:sz w:val="32"/>
          <w14:textFill>
            <w14:solidFill>
              <w14:schemeClr w14:val="tx1"/>
            </w14:solidFill>
          </w14:textFill>
        </w:rPr>
        <w:t>加强棉花质量大数据与其他行业的结合与应用，尤其是要推进政府部门、行业协会、相关机构之间的沟通协作，积极推动棉花产业信息大数据平台建设，研究棉花公证检验结果在纺织配棉中的应用、公证检验证书与现代物流的结合、公证检验结果的“大数据”应用与质量分析等</w:t>
      </w:r>
      <w:r>
        <w:rPr>
          <w:rFonts w:hint="eastAsia" w:ascii="方正仿宋简体" w:eastAsia="方正仿宋简体"/>
          <w:color w:val="000000" w:themeColor="text1"/>
          <w:sz w:val="32"/>
          <w:lang w:eastAsia="zh-CN"/>
          <w14:textFill>
            <w14:solidFill>
              <w14:schemeClr w14:val="tx1"/>
            </w14:solidFill>
          </w14:textFill>
        </w:rPr>
        <w:t>，</w:t>
      </w:r>
      <w:r>
        <w:rPr>
          <w:rFonts w:hint="eastAsia" w:ascii="方正仿宋简体" w:hAnsi="仿宋" w:eastAsia="方正仿宋简体"/>
          <w:color w:val="000000" w:themeColor="text1"/>
          <w:sz w:val="32"/>
          <w:szCs w:val="32"/>
          <w14:textFill>
            <w14:solidFill>
              <w14:schemeClr w14:val="tx1"/>
            </w14:solidFill>
          </w14:textFill>
        </w:rPr>
        <w:t>充分利用研究成果，为棉花产业各环节的质量提升发挥指导作用</w:t>
      </w:r>
      <w:r>
        <w:rPr>
          <w:rFonts w:hint="eastAsia" w:ascii="方正仿宋简体" w:hAnsi="仿宋" w:eastAsia="方正仿宋简体"/>
          <w:color w:val="000000" w:themeColor="text1"/>
          <w:sz w:val="32"/>
          <w:szCs w:val="32"/>
          <w:lang w:eastAsia="zh-CN"/>
          <w14:textFill>
            <w14:solidFill>
              <w14:schemeClr w14:val="tx1"/>
            </w14:solidFill>
          </w14:textFill>
        </w:rPr>
        <w:t>。</w:t>
      </w:r>
    </w:p>
    <w:p>
      <w:pPr>
        <w:pStyle w:val="3"/>
        <w:spacing w:before="0" w:after="0" w:line="576" w:lineRule="exact"/>
        <w:ind w:firstLine="667" w:firstLineChars="214"/>
        <w:rPr>
          <w:rFonts w:hint="eastAsia" w:ascii="方正楷体简体" w:hAnsi="方正楷体简体" w:eastAsia="方正楷体简体" w:cs="方正楷体简体"/>
        </w:rPr>
      </w:pPr>
      <w:bookmarkStart w:id="19" w:name="_Toc16507"/>
      <w:r>
        <w:rPr>
          <w:rFonts w:hint="eastAsia" w:ascii="方正楷体简体" w:hAnsi="方正楷体简体" w:eastAsia="方正楷体简体" w:cs="方正楷体简体"/>
        </w:rPr>
        <w:t>（三）加强</w:t>
      </w:r>
      <w:r>
        <w:rPr>
          <w:rFonts w:hint="eastAsia" w:ascii="方正楷体简体" w:hAnsi="方正楷体简体" w:eastAsia="方正楷体简体" w:cs="方正楷体简体"/>
          <w:lang w:eastAsia="zh-CN"/>
        </w:rPr>
        <w:t>棉花质量监测</w:t>
      </w:r>
      <w:r>
        <w:rPr>
          <w:rFonts w:hint="eastAsia" w:ascii="方正楷体简体" w:hAnsi="方正楷体简体" w:eastAsia="方正楷体简体" w:cs="方正楷体简体"/>
        </w:rPr>
        <w:t>，</w:t>
      </w:r>
      <w:r>
        <w:rPr>
          <w:rFonts w:hint="eastAsia" w:ascii="方正楷体简体" w:hAnsi="方正楷体简体" w:eastAsia="方正楷体简体" w:cs="方正楷体简体"/>
          <w:lang w:eastAsia="zh-CN"/>
        </w:rPr>
        <w:t>促进</w:t>
      </w:r>
      <w:r>
        <w:rPr>
          <w:rFonts w:hint="eastAsia" w:ascii="方正楷体简体" w:hAnsi="方正楷体简体" w:eastAsia="方正楷体简体" w:cs="方正楷体简体"/>
        </w:rPr>
        <w:t>全国棉花质量提升</w:t>
      </w:r>
      <w:bookmarkEnd w:id="19"/>
    </w:p>
    <w:p>
      <w:pPr>
        <w:pStyle w:val="23"/>
        <w:spacing w:line="576" w:lineRule="exact"/>
        <w:ind w:firstLine="622"/>
        <w:rPr>
          <w:rFonts w:ascii="方正仿宋简体" w:eastAsia="方正仿宋简体"/>
          <w:color w:val="000000" w:themeColor="text1"/>
          <w:sz w:val="32"/>
          <w14:textFill>
            <w14:solidFill>
              <w14:schemeClr w14:val="tx1"/>
            </w14:solidFill>
          </w14:textFill>
        </w:rPr>
      </w:pPr>
      <w:r>
        <w:rPr>
          <w:rFonts w:hint="eastAsia" w:ascii="方正仿宋简体" w:eastAsia="方正仿宋简体"/>
          <w:color w:val="000000" w:themeColor="text1"/>
          <w:sz w:val="32"/>
          <w14:textFill>
            <w14:solidFill>
              <w14:schemeClr w14:val="tx1"/>
            </w14:solidFill>
          </w14:textFill>
        </w:rPr>
        <w:t>围绕纺织企业需求，针对棉花质量的突出问题，</w:t>
      </w:r>
      <w:r>
        <w:rPr>
          <w:rFonts w:hint="eastAsia" w:ascii="方正仿宋简体" w:eastAsia="方正仿宋简体"/>
          <w:sz w:val="32"/>
        </w:rPr>
        <w:t>继续加强棉花质量</w:t>
      </w:r>
      <w:r>
        <w:rPr>
          <w:rFonts w:hint="eastAsia" w:ascii="方正仿宋简体" w:eastAsia="方正仿宋简体"/>
          <w:sz w:val="32"/>
          <w:lang w:eastAsia="zh-CN"/>
        </w:rPr>
        <w:t>监测</w:t>
      </w:r>
      <w:r>
        <w:rPr>
          <w:rFonts w:hint="eastAsia" w:ascii="方正仿宋简体" w:eastAsia="方正仿宋简体"/>
          <w:sz w:val="32"/>
        </w:rPr>
        <w:t>，加强棉花加工企业质量管理水平。密切关注棉花市场质量状况，做好棉花质量</w:t>
      </w:r>
      <w:r>
        <w:rPr>
          <w:rFonts w:hint="eastAsia" w:ascii="方正仿宋简体" w:eastAsia="方正仿宋简体"/>
          <w:sz w:val="32"/>
          <w:lang w:eastAsia="zh-CN"/>
        </w:rPr>
        <w:t>各项指标的</w:t>
      </w:r>
      <w:r>
        <w:rPr>
          <w:rFonts w:hint="eastAsia" w:ascii="方正仿宋简体" w:eastAsia="方正仿宋简体"/>
          <w:sz w:val="32"/>
        </w:rPr>
        <w:t>分析，加强</w:t>
      </w:r>
      <w:r>
        <w:rPr>
          <w:rFonts w:hint="eastAsia" w:ascii="方正仿宋简体" w:eastAsia="方正仿宋简体"/>
          <w:sz w:val="32"/>
          <w:lang w:eastAsia="zh-CN"/>
        </w:rPr>
        <w:t>棉花短纤维率风险监测</w:t>
      </w:r>
      <w:r>
        <w:rPr>
          <w:rFonts w:hint="eastAsia" w:ascii="方正仿宋简体" w:eastAsia="方正仿宋简体"/>
          <w:sz w:val="32"/>
        </w:rPr>
        <w:t>，</w:t>
      </w:r>
      <w:r>
        <w:rPr>
          <w:rFonts w:hint="eastAsia" w:ascii="方正仿宋简体" w:eastAsia="方正仿宋简体"/>
          <w:sz w:val="32"/>
          <w:lang w:eastAsia="zh-CN"/>
        </w:rPr>
        <w:t>以质量薄弱点为抓手促进棉花质量提升</w:t>
      </w:r>
      <w:r>
        <w:rPr>
          <w:rFonts w:hint="eastAsia" w:ascii="方正仿宋简体" w:eastAsia="方正仿宋简体"/>
          <w:sz w:val="32"/>
        </w:rPr>
        <w:t>。</w:t>
      </w:r>
      <w:r>
        <w:rPr>
          <w:rFonts w:hint="eastAsia" w:ascii="方正仿宋简体" w:eastAsia="方正仿宋简体"/>
          <w:color w:val="000000" w:themeColor="text1"/>
          <w:sz w:val="32"/>
          <w14:textFill>
            <w14:solidFill>
              <w14:schemeClr w14:val="tx1"/>
            </w14:solidFill>
          </w14:textFill>
        </w:rPr>
        <w:t>同时要深入研究质量数据在棉花</w:t>
      </w:r>
      <w:r>
        <w:rPr>
          <w:rFonts w:hint="eastAsia" w:ascii="仿宋_GB2312" w:eastAsia="仿宋_GB2312"/>
          <w:sz w:val="32"/>
        </w:rPr>
        <w:t>良种培育、提升科学植棉水平、改进生产工艺中的指导与参考作用，运用科学技术提升棉花供给质量。加大对机采棉在育种、栽培管理、采摘技术、加工工艺等方面的专项研究力度，深入研究机采棉各项质量指标，使机采棉与手摘棉针对不同纺纱需求，优势分别得到发挥。</w:t>
      </w:r>
    </w:p>
    <w:p>
      <w:pPr>
        <w:rPr>
          <w:rFonts w:ascii="方正仿宋简体" w:eastAsia="方正仿宋简体"/>
        </w:rPr>
      </w:pPr>
    </w:p>
    <w:sectPr>
      <w:footerReference r:id="rId10" w:type="first"/>
      <w:footerReference r:id="rId8" w:type="default"/>
      <w:footerReference r:id="rId9" w:type="even"/>
      <w:footnotePr>
        <w:numFmt w:val="decimalEnclosedCircleChinese"/>
      </w:footnotePr>
      <w:pgSz w:w="11906" w:h="16838"/>
      <w:pgMar w:top="2098" w:right="1474" w:bottom="1928" w:left="1587" w:header="851" w:footer="1417" w:gutter="0"/>
      <w:pgNumType w:start="1"/>
      <w:cols w:space="0" w:num="1"/>
      <w:docGrid w:type="linesAndChars" w:linePitch="287"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233376"/>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813318"/>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sdt>
      <w:sdtPr>
        <w:id w:val="-1094314783"/>
      </w:sdtPr>
      <w:sdtEndPr>
        <w:rPr>
          <w:rFonts w:asciiTheme="minorEastAsia" w:hAnsiTheme="minorEastAsia" w:eastAsiaTheme="minorEastAsia"/>
          <w:sz w:val="28"/>
          <w:szCs w:val="28"/>
        </w:r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sdt>
      <w:sdtPr>
        <w:id w:val="1158423829"/>
      </w:sdtPr>
      <w:sdtEndPr>
        <w:rPr>
          <w:rFonts w:asciiTheme="minorEastAsia" w:hAnsiTheme="minorEastAsia" w:eastAsiaTheme="minorEastAsia"/>
          <w:sz w:val="28"/>
          <w:szCs w:val="28"/>
        </w:rPr>
      </w:sdtEnd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heme="minorEastAsia" w:hAnsiTheme="minorEastAsia" w:eastAsiaTheme="minorEastAsia"/>
          <w:snapToGrid w:val="0"/>
          <w:kern w:val="0"/>
          <w:sz w:val="21"/>
          <w:szCs w:val="21"/>
        </w:rPr>
      </w:pPr>
      <w:r>
        <w:rPr>
          <w:rStyle w:val="15"/>
          <w:rFonts w:asciiTheme="minorEastAsia" w:hAnsiTheme="minorEastAsia" w:eastAsiaTheme="minorEastAsia"/>
          <w:snapToGrid w:val="0"/>
          <w:kern w:val="0"/>
          <w:sz w:val="21"/>
          <w:szCs w:val="21"/>
          <w:vertAlign w:val="baseline"/>
        </w:rPr>
        <w:footnoteRef/>
      </w:r>
      <w:r>
        <w:rPr>
          <w:rFonts w:hint="eastAsia" w:asciiTheme="minorEastAsia" w:hAnsiTheme="minorEastAsia" w:eastAsiaTheme="minorEastAsia"/>
          <w:snapToGrid w:val="0"/>
          <w:kern w:val="0"/>
          <w:sz w:val="21"/>
          <w:szCs w:val="21"/>
        </w:rPr>
        <w:t>2012年11月21日，国家标准化委员会发布了新修订的棉花国家标准GB 1103.1-2012《棉花 第1部分：锯齿加工细绒棉》和GB 1103.2-2012《棉花 第2部分：皮辊加工细绒棉》，并从2013棉花年度(2013年9月1日)起开始实施，取代GB 1103-2007《棉花细绒棉》国家标准。</w:t>
      </w:r>
    </w:p>
  </w:footnote>
  <w:footnote w:id="1">
    <w:p>
      <w:pPr>
        <w:pStyle w:val="8"/>
        <w:rPr>
          <w:rFonts w:asciiTheme="minorEastAsia" w:hAnsiTheme="minorEastAsia" w:eastAsiaTheme="minorEastAsia"/>
          <w:kern w:val="21"/>
          <w:sz w:val="21"/>
          <w:szCs w:val="21"/>
        </w:rPr>
      </w:pPr>
      <w:r>
        <w:rPr>
          <w:rStyle w:val="15"/>
          <w:rFonts w:asciiTheme="minorEastAsia" w:hAnsiTheme="minorEastAsia" w:eastAsiaTheme="minorEastAsia"/>
          <w:kern w:val="21"/>
          <w:sz w:val="21"/>
          <w:szCs w:val="21"/>
          <w:vertAlign w:val="baseline"/>
        </w:rPr>
        <w:footnoteRef/>
      </w:r>
      <w:r>
        <w:rPr>
          <w:rStyle w:val="15"/>
          <w:rFonts w:hint="eastAsia" w:asciiTheme="minorEastAsia" w:hAnsiTheme="minorEastAsia" w:eastAsiaTheme="minorEastAsia"/>
          <w:kern w:val="21"/>
          <w:sz w:val="21"/>
          <w:szCs w:val="21"/>
          <w:vertAlign w:val="baseline"/>
        </w:rPr>
        <w:t>新疆维吾尔自治区</w:t>
      </w:r>
      <w:r>
        <w:rPr>
          <w:rFonts w:hint="eastAsia" w:asciiTheme="minorEastAsia" w:hAnsiTheme="minorEastAsia" w:eastAsiaTheme="minorEastAsia"/>
          <w:kern w:val="21"/>
          <w:sz w:val="21"/>
          <w:szCs w:val="21"/>
        </w:rPr>
        <w:t>地方</w:t>
      </w:r>
      <w:r>
        <w:rPr>
          <w:rStyle w:val="15"/>
          <w:rFonts w:hint="eastAsia" w:asciiTheme="minorEastAsia" w:hAnsiTheme="minorEastAsia" w:eastAsiaTheme="minorEastAsia"/>
          <w:kern w:val="21"/>
          <w:sz w:val="21"/>
          <w:szCs w:val="21"/>
          <w:vertAlign w:val="baseline"/>
        </w:rPr>
        <w:t>及生产建设兵团所产棉花因其在品种、生产方式、管理模式上的差异，</w:t>
      </w:r>
      <w:r>
        <w:rPr>
          <w:rFonts w:hint="eastAsia" w:asciiTheme="minorEastAsia" w:hAnsiTheme="minorEastAsia" w:eastAsiaTheme="minorEastAsia"/>
          <w:kern w:val="21"/>
          <w:sz w:val="21"/>
          <w:szCs w:val="21"/>
        </w:rPr>
        <w:t>而在</w:t>
      </w:r>
      <w:r>
        <w:rPr>
          <w:rStyle w:val="15"/>
          <w:rFonts w:hint="eastAsia" w:asciiTheme="minorEastAsia" w:hAnsiTheme="minorEastAsia" w:eastAsiaTheme="minorEastAsia"/>
          <w:kern w:val="21"/>
          <w:sz w:val="21"/>
          <w:szCs w:val="21"/>
          <w:vertAlign w:val="baseline"/>
        </w:rPr>
        <w:t>一些质量指标上各具特点，因此，本报告中对其分别统计分析，并</w:t>
      </w:r>
      <w:r>
        <w:rPr>
          <w:rFonts w:hint="eastAsia" w:asciiTheme="minorEastAsia" w:hAnsiTheme="minorEastAsia" w:eastAsiaTheme="minorEastAsia"/>
          <w:kern w:val="21"/>
          <w:sz w:val="21"/>
          <w:szCs w:val="21"/>
        </w:rPr>
        <w:t>分别简称新疆地方、新疆兵团。</w:t>
      </w:r>
    </w:p>
  </w:footnote>
  <w:footnote w:id="2">
    <w:p>
      <w:pPr>
        <w:pStyle w:val="8"/>
        <w:rPr>
          <w:rFonts w:asciiTheme="minorEastAsia" w:hAnsiTheme="minorEastAsia" w:eastAsiaTheme="minorEastAsia"/>
          <w:snapToGrid w:val="0"/>
          <w:kern w:val="0"/>
          <w:sz w:val="21"/>
          <w:szCs w:val="21"/>
        </w:rPr>
      </w:pPr>
      <w:r>
        <w:rPr>
          <w:rStyle w:val="15"/>
          <w:rFonts w:asciiTheme="minorEastAsia" w:hAnsiTheme="minorEastAsia" w:eastAsiaTheme="minorEastAsia"/>
          <w:snapToGrid w:val="0"/>
          <w:kern w:val="0"/>
          <w:sz w:val="21"/>
          <w:szCs w:val="21"/>
          <w:vertAlign w:val="baseline"/>
        </w:rPr>
        <w:footnoteRef/>
      </w:r>
      <w:r>
        <w:rPr>
          <w:rStyle w:val="15"/>
          <w:rFonts w:hint="eastAsia" w:asciiTheme="minorEastAsia" w:hAnsiTheme="minorEastAsia" w:eastAsiaTheme="minorEastAsia"/>
          <w:snapToGrid w:val="0"/>
          <w:kern w:val="0"/>
          <w:sz w:val="21"/>
          <w:szCs w:val="21"/>
          <w:vertAlign w:val="baseline"/>
        </w:rPr>
        <w:t>棉花的颜色级指标与原标准中的品级指标并无对应关系。根据现行棉花国家标准，颜色级分为白棉、淡点污棉、淡黄染棉、黄染棉四个类型，其中白棉分为1到5级，代号分别用11、21、31、41、51表示；淡点污棉分为1到3级，代号分别用12、22、32表示；淡黄染棉分为1到3级，代号分别用13、23、33表示；黄染棉分为1级和2级，代号分别用14、24表示。</w:t>
      </w:r>
    </w:p>
  </w:footnote>
  <w:footnote w:id="3">
    <w:p>
      <w:pPr>
        <w:pStyle w:val="8"/>
        <w:rPr>
          <w:snapToGrid w:val="0"/>
          <w:kern w:val="0"/>
          <w:sz w:val="21"/>
          <w:szCs w:val="21"/>
        </w:rPr>
      </w:pPr>
      <w:r>
        <w:rPr>
          <w:rFonts w:asciiTheme="minorEastAsia" w:hAnsiTheme="minorEastAsia" w:eastAsiaTheme="minorEastAsia"/>
          <w:snapToGrid w:val="0"/>
          <w:kern w:val="0"/>
          <w:sz w:val="21"/>
          <w:szCs w:val="21"/>
        </w:rPr>
        <w:footnoteRef/>
      </w:r>
      <w:r>
        <w:rPr>
          <w:rFonts w:hint="eastAsia" w:asciiTheme="minorEastAsia" w:hAnsiTheme="minorEastAsia" w:eastAsiaTheme="minorEastAsia"/>
          <w:snapToGrid w:val="0"/>
          <w:kern w:val="0"/>
          <w:sz w:val="21"/>
          <w:szCs w:val="21"/>
        </w:rPr>
        <w:t>根据现行棉花国家标准，锯齿加工细绒棉的轧工质量分为好、中、差三档，分别用P1、P2、P3表示。</w:t>
      </w:r>
    </w:p>
  </w:footnote>
  <w:footnote w:id="4">
    <w:p>
      <w:pPr>
        <w:pStyle w:val="8"/>
        <w:rPr>
          <w:rFonts w:asciiTheme="minorEastAsia" w:hAnsiTheme="minorEastAsia" w:eastAsiaTheme="minorEastAsia"/>
          <w:kern w:val="21"/>
          <w:sz w:val="21"/>
          <w:szCs w:val="21"/>
        </w:rPr>
      </w:pPr>
      <w:r>
        <w:rPr>
          <w:rFonts w:asciiTheme="minorEastAsia" w:hAnsiTheme="minorEastAsia" w:eastAsiaTheme="minorEastAsia"/>
          <w:kern w:val="21"/>
          <w:sz w:val="21"/>
          <w:szCs w:val="21"/>
        </w:rPr>
        <w:footnoteRef/>
      </w:r>
      <w:r>
        <w:rPr>
          <w:rFonts w:hint="eastAsia" w:asciiTheme="minorEastAsia" w:hAnsiTheme="minorEastAsia" w:eastAsiaTheme="minorEastAsia"/>
          <w:kern w:val="21"/>
          <w:sz w:val="21"/>
          <w:szCs w:val="21"/>
        </w:rPr>
        <w:t>棉花长度并非指单根棉纤维的长度，而是根据一定数量的棉花所有棉纤维长度分布的数理统计量。根据现行棉花国家标准，细绒棉长度级分级及长度值范围分别是：25毫米级，25.9毫米及以下；26毫米级，26.0-26.9毫米；27-31毫米级以1毫米为级距依次类推；32毫米级，32.0毫米及以上。</w:t>
      </w:r>
    </w:p>
  </w:footnote>
  <w:footnote w:id="5">
    <w:p>
      <w:pPr>
        <w:pStyle w:val="8"/>
      </w:pPr>
      <w:r>
        <w:rPr>
          <w:rFonts w:asciiTheme="minorEastAsia" w:hAnsiTheme="minorEastAsia" w:eastAsiaTheme="minorEastAsia"/>
          <w:sz w:val="21"/>
        </w:rPr>
        <w:footnoteRef/>
      </w:r>
      <w:r>
        <w:rPr>
          <w:rFonts w:hint="eastAsia" w:asciiTheme="minorEastAsia" w:hAnsiTheme="minorEastAsia" w:eastAsiaTheme="minorEastAsia"/>
          <w:sz w:val="21"/>
        </w:rPr>
        <w:t xml:space="preserve"> 对各棉包进行逐包抽样检验，各样品检测长度值的算术平均值。</w:t>
      </w:r>
    </w:p>
  </w:footnote>
  <w:footnote w:id="6">
    <w:p>
      <w:pPr>
        <w:pStyle w:val="8"/>
        <w:rPr>
          <w:rFonts w:asciiTheme="minorEastAsia" w:hAnsiTheme="minorEastAsia" w:eastAsiaTheme="minorEastAsia"/>
          <w:sz w:val="21"/>
        </w:rPr>
      </w:pPr>
      <w:r>
        <w:rPr>
          <w:rFonts w:asciiTheme="minorEastAsia" w:hAnsiTheme="minorEastAsia" w:eastAsiaTheme="minorEastAsia"/>
          <w:sz w:val="21"/>
        </w:rPr>
        <w:footnoteRef/>
      </w:r>
      <w:r>
        <w:rPr>
          <w:rFonts w:hint="eastAsia" w:asciiTheme="minorEastAsia" w:hAnsiTheme="minorEastAsia" w:eastAsiaTheme="minorEastAsia"/>
          <w:sz w:val="21"/>
        </w:rPr>
        <w:t xml:space="preserve"> 对各棉包进行逐包抽样检验，实测长度后计其长度级，各长度级级值与该长度级占总检验量的比率乘积之和。</w:t>
      </w:r>
    </w:p>
  </w:footnote>
  <w:footnote w:id="7">
    <w:p>
      <w:pPr>
        <w:pStyle w:val="8"/>
        <w:rPr>
          <w:rFonts w:asciiTheme="minorEastAsia" w:hAnsiTheme="minorEastAsia" w:eastAsiaTheme="minorEastAsia"/>
          <w:snapToGrid w:val="0"/>
          <w:kern w:val="0"/>
          <w:sz w:val="21"/>
          <w:szCs w:val="21"/>
        </w:rPr>
      </w:pPr>
      <w:r>
        <w:rPr>
          <w:rFonts w:asciiTheme="minorEastAsia" w:hAnsiTheme="minorEastAsia" w:eastAsiaTheme="minorEastAsia"/>
          <w:snapToGrid w:val="0"/>
          <w:kern w:val="0"/>
          <w:sz w:val="21"/>
          <w:szCs w:val="21"/>
        </w:rPr>
        <w:footnoteRef/>
      </w:r>
      <w:r>
        <w:rPr>
          <w:rFonts w:hint="eastAsia" w:asciiTheme="minorEastAsia" w:hAnsiTheme="minorEastAsia" w:eastAsiaTheme="minorEastAsia"/>
          <w:snapToGrid w:val="0"/>
          <w:kern w:val="0"/>
          <w:sz w:val="21"/>
        </w:rPr>
        <w:t>根据现行棉花国家标准，</w:t>
      </w:r>
      <w:r>
        <w:rPr>
          <w:rFonts w:asciiTheme="minorEastAsia" w:hAnsiTheme="minorEastAsia" w:eastAsiaTheme="minorEastAsia"/>
          <w:snapToGrid w:val="0"/>
          <w:kern w:val="0"/>
          <w:sz w:val="21"/>
          <w:szCs w:val="21"/>
        </w:rPr>
        <w:t>马克隆值</w:t>
      </w:r>
      <w:r>
        <w:rPr>
          <w:rFonts w:hint="eastAsia" w:asciiTheme="minorEastAsia" w:hAnsiTheme="minorEastAsia" w:eastAsiaTheme="minorEastAsia"/>
          <w:snapToGrid w:val="0"/>
          <w:kern w:val="0"/>
          <w:sz w:val="21"/>
          <w:szCs w:val="21"/>
        </w:rPr>
        <w:t>级的分级、分档及马克隆值范围分别是：A级，A档，3.7-4.2；B级，B1档，3.5-3.6；B级，B2档，4.3-4.9；C级，C1档，3.4及以下；C级，C2档，5.0及以上。</w:t>
      </w:r>
    </w:p>
  </w:footnote>
  <w:footnote w:id="8">
    <w:p>
      <w:pPr>
        <w:pStyle w:val="8"/>
        <w:rPr>
          <w:rFonts w:asciiTheme="minorEastAsia" w:hAnsiTheme="minorEastAsia" w:eastAsiaTheme="minorEastAsia"/>
          <w:snapToGrid w:val="0"/>
          <w:kern w:val="0"/>
          <w:sz w:val="21"/>
          <w:szCs w:val="21"/>
        </w:rPr>
      </w:pPr>
      <w:r>
        <w:rPr>
          <w:rFonts w:asciiTheme="minorEastAsia" w:hAnsiTheme="minorEastAsia" w:eastAsiaTheme="minorEastAsia"/>
          <w:snapToGrid w:val="0"/>
          <w:kern w:val="0"/>
          <w:sz w:val="21"/>
          <w:szCs w:val="21"/>
        </w:rPr>
        <w:footnoteRef/>
      </w:r>
      <w:r>
        <w:rPr>
          <w:rFonts w:hint="eastAsia" w:asciiTheme="minorEastAsia" w:hAnsiTheme="minorEastAsia" w:eastAsiaTheme="minorEastAsia"/>
          <w:snapToGrid w:val="0"/>
          <w:kern w:val="0"/>
          <w:sz w:val="21"/>
          <w:szCs w:val="21"/>
        </w:rPr>
        <w:t>根据现行棉花国家标准，断裂比强度的分档与断裂比强度值范围分别是：很强档，31.0</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及以上；强档，29.0-30.9</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；中等档，26.0-28.9</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；差档，24.0-25.9</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；很差档，24.0</w:t>
      </w:r>
      <w:r>
        <w:rPr>
          <w:rFonts w:asciiTheme="minorEastAsia" w:hAnsiTheme="minorEastAsia" w:eastAsiaTheme="minorEastAsia"/>
          <w:snapToGrid w:val="0"/>
          <w:kern w:val="0"/>
          <w:sz w:val="21"/>
          <w:szCs w:val="21"/>
        </w:rPr>
        <w:t>cN/tex</w:t>
      </w:r>
      <w:r>
        <w:rPr>
          <w:rFonts w:hint="eastAsia" w:asciiTheme="minorEastAsia" w:hAnsiTheme="minorEastAsia" w:eastAsiaTheme="minorEastAsia"/>
          <w:snapToGrid w:val="0"/>
          <w:kern w:val="0"/>
          <w:sz w:val="21"/>
          <w:szCs w:val="21"/>
        </w:rPr>
        <w:t>（不含）以下。</w:t>
      </w:r>
    </w:p>
  </w:footnote>
  <w:footnote w:id="9">
    <w:p>
      <w:pPr>
        <w:pStyle w:val="8"/>
        <w:rPr>
          <w:rFonts w:asciiTheme="minorEastAsia" w:hAnsiTheme="minorEastAsia" w:eastAsiaTheme="minorEastAsia"/>
          <w:snapToGrid w:val="0"/>
          <w:kern w:val="0"/>
          <w:sz w:val="21"/>
          <w:szCs w:val="21"/>
        </w:rPr>
      </w:pPr>
      <w:r>
        <w:rPr>
          <w:rFonts w:asciiTheme="minorEastAsia" w:hAnsiTheme="minorEastAsia" w:eastAsiaTheme="minorEastAsia"/>
          <w:snapToGrid w:val="0"/>
          <w:kern w:val="0"/>
          <w:sz w:val="21"/>
          <w:szCs w:val="21"/>
        </w:rPr>
        <w:footnoteRef/>
      </w:r>
      <w:r>
        <w:rPr>
          <w:rFonts w:hint="eastAsia" w:asciiTheme="minorEastAsia" w:hAnsiTheme="minorEastAsia" w:eastAsiaTheme="minorEastAsia"/>
          <w:snapToGrid w:val="0"/>
          <w:kern w:val="0"/>
          <w:sz w:val="21"/>
        </w:rPr>
        <w:t>根据现行棉花国家标准，</w:t>
      </w:r>
      <w:r>
        <w:rPr>
          <w:rFonts w:hint="eastAsia" w:asciiTheme="minorEastAsia" w:hAnsiTheme="minorEastAsia" w:eastAsiaTheme="minorEastAsia"/>
          <w:snapToGrid w:val="0"/>
          <w:kern w:val="0"/>
          <w:sz w:val="21"/>
          <w:szCs w:val="21"/>
        </w:rPr>
        <w:t>长度整齐度指数分档与长度整齐度指数范围分别是：很高档，86.0%级以上；高档，83.0%-85.9%；中等档，80.0-82.9%；低档，77.0%-79.9%；很低档，77.0%（不含）以下。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B4"/>
    <w:rsid w:val="00030B26"/>
    <w:rsid w:val="00080055"/>
    <w:rsid w:val="001031BE"/>
    <w:rsid w:val="00116E7B"/>
    <w:rsid w:val="00132BF6"/>
    <w:rsid w:val="00244959"/>
    <w:rsid w:val="00246548"/>
    <w:rsid w:val="003154C0"/>
    <w:rsid w:val="00403E0D"/>
    <w:rsid w:val="00431705"/>
    <w:rsid w:val="00445CA9"/>
    <w:rsid w:val="00451A2B"/>
    <w:rsid w:val="00504935"/>
    <w:rsid w:val="00533263"/>
    <w:rsid w:val="00533CB4"/>
    <w:rsid w:val="00555887"/>
    <w:rsid w:val="005674A0"/>
    <w:rsid w:val="00573D72"/>
    <w:rsid w:val="005777F9"/>
    <w:rsid w:val="005A7E58"/>
    <w:rsid w:val="005C2DFC"/>
    <w:rsid w:val="00637248"/>
    <w:rsid w:val="00640051"/>
    <w:rsid w:val="00686ECB"/>
    <w:rsid w:val="006A3488"/>
    <w:rsid w:val="006B545E"/>
    <w:rsid w:val="00757EED"/>
    <w:rsid w:val="00786A4C"/>
    <w:rsid w:val="00804411"/>
    <w:rsid w:val="008255C9"/>
    <w:rsid w:val="00885D49"/>
    <w:rsid w:val="008D77B0"/>
    <w:rsid w:val="009025A8"/>
    <w:rsid w:val="00917F5D"/>
    <w:rsid w:val="00945DFC"/>
    <w:rsid w:val="00997A20"/>
    <w:rsid w:val="009C28E6"/>
    <w:rsid w:val="009D337E"/>
    <w:rsid w:val="00A02E38"/>
    <w:rsid w:val="00AC3C13"/>
    <w:rsid w:val="00AC6649"/>
    <w:rsid w:val="00AF2995"/>
    <w:rsid w:val="00B427E8"/>
    <w:rsid w:val="00B80C1E"/>
    <w:rsid w:val="00BC7EF7"/>
    <w:rsid w:val="00BD2AAC"/>
    <w:rsid w:val="00BE442A"/>
    <w:rsid w:val="00C05D08"/>
    <w:rsid w:val="00C47BC2"/>
    <w:rsid w:val="00CE66C9"/>
    <w:rsid w:val="00CF495A"/>
    <w:rsid w:val="00D04906"/>
    <w:rsid w:val="00D72D9D"/>
    <w:rsid w:val="00DB492C"/>
    <w:rsid w:val="00DB60CC"/>
    <w:rsid w:val="00E855E1"/>
    <w:rsid w:val="00F15FD7"/>
    <w:rsid w:val="00F24F39"/>
    <w:rsid w:val="0581253D"/>
    <w:rsid w:val="05D9655B"/>
    <w:rsid w:val="09694FCB"/>
    <w:rsid w:val="18155A97"/>
    <w:rsid w:val="1CC73386"/>
    <w:rsid w:val="1DCD4C3A"/>
    <w:rsid w:val="21A97833"/>
    <w:rsid w:val="235E502A"/>
    <w:rsid w:val="295D3428"/>
    <w:rsid w:val="31E96EC2"/>
    <w:rsid w:val="36162223"/>
    <w:rsid w:val="377D09E9"/>
    <w:rsid w:val="37871FBD"/>
    <w:rsid w:val="3D3166C9"/>
    <w:rsid w:val="3EF324A2"/>
    <w:rsid w:val="412A56DE"/>
    <w:rsid w:val="41D94D43"/>
    <w:rsid w:val="45A96002"/>
    <w:rsid w:val="45C85D9B"/>
    <w:rsid w:val="4AF71DD8"/>
    <w:rsid w:val="51B36D53"/>
    <w:rsid w:val="55B13FA2"/>
    <w:rsid w:val="57BE6354"/>
    <w:rsid w:val="5E045469"/>
    <w:rsid w:val="6D05343D"/>
    <w:rsid w:val="790A6BA9"/>
    <w:rsid w:val="7EE5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widowControl/>
      <w:spacing w:before="100" w:beforeAutospacing="1" w:after="100" w:afterAutospacing="1" w:line="450" w:lineRule="atLeast"/>
      <w:ind w:firstLine="200" w:firstLineChars="200"/>
      <w:jc w:val="left"/>
      <w:outlineLvl w:val="0"/>
    </w:pPr>
    <w:rPr>
      <w:rFonts w:ascii="宋体" w:hAnsi="宋体" w:cs="宋体"/>
      <w:b/>
      <w:bCs/>
      <w:kern w:val="36"/>
      <w:sz w:val="36"/>
      <w:szCs w:val="36"/>
    </w:rPr>
  </w:style>
  <w:style w:type="paragraph" w:styleId="3">
    <w:name w:val="heading 2"/>
    <w:basedOn w:val="1"/>
    <w:next w:val="1"/>
    <w:link w:val="18"/>
    <w:qFormat/>
    <w:uiPriority w:val="0"/>
    <w:pPr>
      <w:keepLines/>
      <w:spacing w:before="260" w:after="260" w:line="413" w:lineRule="auto"/>
      <w:ind w:firstLine="200" w:firstLineChars="200"/>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4"/>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pPr>
  </w:style>
  <w:style w:type="paragraph" w:styleId="8">
    <w:name w:val="footnote text"/>
    <w:basedOn w:val="1"/>
    <w:link w:val="21"/>
    <w:unhideWhenUsed/>
    <w:qFormat/>
    <w:uiPriority w:val="99"/>
    <w:pPr>
      <w:snapToGrid w:val="0"/>
      <w:jc w:val="left"/>
    </w:pPr>
    <w:rPr>
      <w:sz w:val="18"/>
      <w:szCs w:val="18"/>
    </w:rPr>
  </w:style>
  <w:style w:type="paragraph" w:styleId="9">
    <w:name w:val="toc 2"/>
    <w:basedOn w:val="1"/>
    <w:next w:val="1"/>
    <w:unhideWhenUsed/>
    <w:qFormat/>
    <w:uiPriority w:val="39"/>
    <w:pPr>
      <w:tabs>
        <w:tab w:val="right" w:leader="dot" w:pos="8315"/>
      </w:tabs>
      <w:ind w:left="420" w:leftChars="200"/>
    </w:pPr>
  </w:style>
  <w:style w:type="paragraph" w:styleId="10">
    <w:name w:val="Normal (Web)"/>
    <w:basedOn w:val="1"/>
    <w:unhideWhenUsed/>
    <w:qFormat/>
    <w:uiPriority w:val="99"/>
    <w:pPr>
      <w:spacing w:beforeAutospacing="1" w:afterAutospacing="1"/>
      <w:jc w:val="left"/>
    </w:pPr>
    <w:rPr>
      <w:kern w:val="0"/>
      <w:sz w:val="24"/>
    </w:rPr>
  </w:style>
  <w:style w:type="character" w:styleId="12">
    <w:name w:val="Strong"/>
    <w:basedOn w:val="11"/>
    <w:qFormat/>
    <w:uiPriority w:val="22"/>
    <w:rPr>
      <w:b/>
    </w:rPr>
  </w:style>
  <w:style w:type="character" w:styleId="13">
    <w:name w:val="FollowedHyperlink"/>
    <w:basedOn w:val="11"/>
    <w:unhideWhenUsed/>
    <w:qFormat/>
    <w:uiPriority w:val="99"/>
    <w:rPr>
      <w:color w:val="4D4D4D"/>
      <w:u w:val="none"/>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styleId="15">
    <w:name w:val="footnote reference"/>
    <w:basedOn w:val="11"/>
    <w:unhideWhenUsed/>
    <w:qFormat/>
    <w:uiPriority w:val="99"/>
    <w:rPr>
      <w:vertAlign w:val="superscript"/>
    </w:rPr>
  </w:style>
  <w:style w:type="character" w:customStyle="1" w:styleId="17">
    <w:name w:val="标题 1 Char"/>
    <w:basedOn w:val="11"/>
    <w:link w:val="2"/>
    <w:qFormat/>
    <w:uiPriority w:val="0"/>
    <w:rPr>
      <w:rFonts w:ascii="宋体" w:hAnsi="宋体" w:eastAsia="宋体" w:cs="宋体"/>
      <w:b/>
      <w:bCs/>
      <w:kern w:val="36"/>
      <w:sz w:val="36"/>
      <w:szCs w:val="36"/>
    </w:rPr>
  </w:style>
  <w:style w:type="character" w:customStyle="1" w:styleId="18">
    <w:name w:val="标题 2 Char"/>
    <w:basedOn w:val="11"/>
    <w:link w:val="3"/>
    <w:qFormat/>
    <w:uiPriority w:val="0"/>
    <w:rPr>
      <w:rFonts w:ascii="Cambria" w:hAnsi="Cambria" w:eastAsia="宋体" w:cs="Times New Roman"/>
      <w:b/>
      <w:bCs/>
      <w:sz w:val="32"/>
      <w:szCs w:val="32"/>
    </w:rPr>
  </w:style>
  <w:style w:type="character" w:customStyle="1" w:styleId="19">
    <w:name w:val="页脚 Char"/>
    <w:basedOn w:val="11"/>
    <w:link w:val="5"/>
    <w:qFormat/>
    <w:uiPriority w:val="99"/>
    <w:rPr>
      <w:rFonts w:ascii="Times New Roman" w:hAnsi="Times New Roman" w:eastAsia="宋体" w:cs="Times New Roman"/>
      <w:sz w:val="18"/>
      <w:szCs w:val="18"/>
    </w:rPr>
  </w:style>
  <w:style w:type="character" w:customStyle="1" w:styleId="20">
    <w:name w:val="页眉 Char"/>
    <w:basedOn w:val="11"/>
    <w:link w:val="6"/>
    <w:qFormat/>
    <w:uiPriority w:val="99"/>
    <w:rPr>
      <w:rFonts w:ascii="Times New Roman" w:hAnsi="Times New Roman" w:eastAsia="宋体" w:cs="Times New Roman"/>
      <w:sz w:val="18"/>
      <w:szCs w:val="18"/>
    </w:rPr>
  </w:style>
  <w:style w:type="character" w:customStyle="1" w:styleId="21">
    <w:name w:val="脚注文本 Char"/>
    <w:basedOn w:val="11"/>
    <w:link w:val="8"/>
    <w:qFormat/>
    <w:uiPriority w:val="99"/>
    <w:rPr>
      <w:rFonts w:ascii="Times New Roman" w:hAnsi="Times New Roman" w:eastAsia="宋体" w:cs="Times New Roman"/>
      <w:sz w:val="18"/>
      <w:szCs w:val="18"/>
    </w:rPr>
  </w:style>
  <w:style w:type="paragraph" w:customStyle="1" w:styleId="22">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23">
    <w:name w:val="列出段落1"/>
    <w:basedOn w:val="1"/>
    <w:qFormat/>
    <w:uiPriority w:val="34"/>
    <w:pPr>
      <w:ind w:firstLine="420" w:firstLineChars="200"/>
    </w:pPr>
  </w:style>
  <w:style w:type="character" w:customStyle="1" w:styleId="24">
    <w:name w:val="批注框文本 Char"/>
    <w:basedOn w:val="11"/>
    <w:link w:val="4"/>
    <w:semiHidden/>
    <w:qFormat/>
    <w:uiPriority w:val="99"/>
    <w:rPr>
      <w:rFonts w:ascii="Times New Roman" w:hAnsi="Times New Roman" w:eastAsia="宋体" w:cs="Times New Roman"/>
      <w:sz w:val="18"/>
      <w:szCs w:val="18"/>
    </w:rPr>
  </w:style>
  <w:style w:type="character" w:customStyle="1" w:styleId="25">
    <w:name w:val="cur"/>
    <w:basedOn w:val="11"/>
    <w:qFormat/>
    <w:uiPriority w:val="0"/>
    <w:rPr>
      <w:b/>
    </w:rPr>
  </w:style>
  <w:style w:type="character" w:customStyle="1" w:styleId="26">
    <w:name w:val="cur1"/>
    <w:basedOn w:val="11"/>
    <w:qFormat/>
    <w:uiPriority w:val="0"/>
    <w:rPr>
      <w:shd w:val="clear" w:color="auto" w:fill="FF0000"/>
    </w:rPr>
  </w:style>
  <w:style w:type="character" w:customStyle="1" w:styleId="27">
    <w:name w:val="cur2"/>
    <w:basedOn w:val="11"/>
    <w:qFormat/>
    <w:uiPriority w:val="0"/>
    <w:rPr>
      <w:b/>
    </w:rPr>
  </w:style>
  <w:style w:type="character" w:customStyle="1" w:styleId="28">
    <w:name w:val="正文1"/>
    <w:basedOn w:val="11"/>
    <w:qFormat/>
    <w:uiPriority w:val="0"/>
    <w:rPr>
      <w:color w:val="FFFFFF"/>
    </w:rPr>
  </w:style>
  <w:style w:type="character" w:customStyle="1" w:styleId="29">
    <w:name w:val="normal1"/>
    <w:basedOn w:val="11"/>
    <w:qFormat/>
    <w:uiPriority w:val="0"/>
    <w:rPr>
      <w:color w:val="000000"/>
    </w:rPr>
  </w:style>
  <w:style w:type="character" w:customStyle="1" w:styleId="30">
    <w:name w:val="normal2"/>
    <w:basedOn w:val="11"/>
    <w:qFormat/>
    <w:uiPriority w:val="0"/>
    <w:rPr>
      <w:color w:val="FFFFFF"/>
    </w:rPr>
  </w:style>
  <w:style w:type="character" w:customStyle="1" w:styleId="31">
    <w:name w:val="gwds_nopic"/>
    <w:basedOn w:val="11"/>
    <w:qFormat/>
    <w:uiPriority w:val="0"/>
  </w:style>
  <w:style w:type="character" w:customStyle="1" w:styleId="32">
    <w:name w:val="gwds_nopic1"/>
    <w:basedOn w:val="11"/>
    <w:qFormat/>
    <w:uiPriority w:val="0"/>
  </w:style>
  <w:style w:type="character" w:customStyle="1" w:styleId="33">
    <w:name w:val="gwds_nopic2"/>
    <w:basedOn w:val="11"/>
    <w:qFormat/>
    <w:uiPriority w:val="0"/>
  </w:style>
  <w:style w:type="character" w:customStyle="1" w:styleId="34">
    <w:name w:val="on"/>
    <w:basedOn w:val="11"/>
    <w:qFormat/>
    <w:uiPriority w:val="0"/>
    <w:rPr>
      <w:color w:val="FFFFFF"/>
    </w:rPr>
  </w:style>
  <w:style w:type="character" w:customStyle="1" w:styleId="35">
    <w:name w:val="on4"/>
    <w:basedOn w:val="11"/>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footnotes" Target="footnotes.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9.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20.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Workbook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1-1 2013/2014</a:t>
            </a:r>
            <a:r>
              <a:rPr lang="zh-CN" altLang="zh-CN" sz="1100" b="1">
                <a:effectLst/>
                <a:latin typeface="+mn-ea"/>
                <a:ea typeface="+mn-ea"/>
              </a:rPr>
              <a:t>年度</a:t>
            </a:r>
            <a:r>
              <a:rPr lang="en-US" altLang="zh-CN" sz="1100" b="1">
                <a:effectLst/>
                <a:latin typeface="+mn-ea"/>
                <a:ea typeface="+mn-ea"/>
              </a:rPr>
              <a:t>-2017/2018</a:t>
            </a:r>
            <a:r>
              <a:rPr lang="zh-CN" altLang="zh-CN" sz="1100" b="1">
                <a:effectLst/>
                <a:latin typeface="+mn-ea"/>
                <a:ea typeface="+mn-ea"/>
              </a:rPr>
              <a:t>年度全国新体制棉花检验量情况对比图</a:t>
            </a:r>
            <a:endParaRPr lang="zh-CN" altLang="zh-CN" sz="1100">
              <a:effectLst/>
              <a:latin typeface="+mn-ea"/>
              <a:ea typeface="+mn-ea"/>
            </a:endParaRPr>
          </a:p>
        </c:rich>
      </c:tx>
      <c:layout>
        <c:manualLayout>
          <c:xMode val="edge"/>
          <c:yMode val="edge"/>
          <c:x val="0.155638230254795"/>
          <c:y val="0.876367389060887"/>
        </c:manualLayout>
      </c:layout>
      <c:overlay val="0"/>
    </c:title>
    <c:autoTitleDeleted val="0"/>
    <c:plotArea>
      <c:layout>
        <c:manualLayout>
          <c:layoutTarget val="inner"/>
          <c:xMode val="edge"/>
          <c:yMode val="edge"/>
          <c:x val="0.220685784209406"/>
          <c:y val="0.0535814273215848"/>
          <c:w val="0.747782684259062"/>
          <c:h val="0.492193788276465"/>
        </c:manualLayout>
      </c:layout>
      <c:barChart>
        <c:barDir val="col"/>
        <c:grouping val="clustered"/>
        <c:varyColors val="0"/>
        <c:ser>
          <c:idx val="0"/>
          <c:order val="0"/>
          <c:tx>
            <c:strRef>
              <c:f>Sheet1!$B$1</c:f>
              <c:strCache>
                <c:ptCount val="1"/>
                <c:pt idx="0">
                  <c:v>加工企业（家）</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General</c:formatCode>
                <c:ptCount val="5"/>
                <c:pt idx="0">
                  <c:v>1789</c:v>
                </c:pt>
                <c:pt idx="1">
                  <c:v>1542</c:v>
                </c:pt>
                <c:pt idx="2">
                  <c:v>1100</c:v>
                </c:pt>
                <c:pt idx="3">
                  <c:v>987</c:v>
                </c:pt>
                <c:pt idx="4">
                  <c:v>1030</c:v>
                </c:pt>
              </c:numCache>
            </c:numRef>
          </c:val>
        </c:ser>
        <c:ser>
          <c:idx val="1"/>
          <c:order val="1"/>
          <c:tx>
            <c:strRef>
              <c:f>Sheet1!$C$1</c:f>
              <c:strCache>
                <c:ptCount val="1"/>
                <c:pt idx="0">
                  <c:v>包数（万包）</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0.0_ </c:formatCode>
                <c:ptCount val="5"/>
                <c:pt idx="0">
                  <c:v>3268.2</c:v>
                </c:pt>
                <c:pt idx="1">
                  <c:v>2271</c:v>
                </c:pt>
                <c:pt idx="2">
                  <c:v>1589.2</c:v>
                </c:pt>
                <c:pt idx="3">
                  <c:v>1835</c:v>
                </c:pt>
                <c:pt idx="4">
                  <c:v>2337</c:v>
                </c:pt>
              </c:numCache>
            </c:numRef>
          </c:val>
        </c:ser>
        <c:ser>
          <c:idx val="2"/>
          <c:order val="2"/>
          <c:tx>
            <c:strRef>
              <c:f>Sheet1!$D$1</c:f>
              <c:strCache>
                <c:ptCount val="1"/>
                <c:pt idx="0">
                  <c:v>重量（万吨）</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0.0_ </c:formatCode>
                <c:ptCount val="5"/>
                <c:pt idx="0">
                  <c:v>741</c:v>
                </c:pt>
                <c:pt idx="1">
                  <c:v>514.2</c:v>
                </c:pt>
                <c:pt idx="2">
                  <c:v>360</c:v>
                </c:pt>
                <c:pt idx="3" c:formatCode="General">
                  <c:v>415.7</c:v>
                </c:pt>
                <c:pt idx="4" c:formatCode="General">
                  <c:v>528.7</c:v>
                </c:pt>
              </c:numCache>
            </c:numRef>
          </c:val>
        </c:ser>
        <c:dLbls>
          <c:showLegendKey val="0"/>
          <c:showVal val="0"/>
          <c:showCatName val="0"/>
          <c:showSerName val="0"/>
          <c:showPercent val="0"/>
          <c:showBubbleSize val="0"/>
        </c:dLbls>
        <c:gapWidth val="150"/>
        <c:axId val="161024000"/>
        <c:axId val="54487296"/>
      </c:barChart>
      <c:catAx>
        <c:axId val="1610240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487296"/>
        <c:crosses val="autoZero"/>
        <c:auto val="1"/>
        <c:lblAlgn val="ctr"/>
        <c:lblOffset val="100"/>
        <c:noMultiLvlLbl val="0"/>
      </c:catAx>
      <c:valAx>
        <c:axId val="544872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102400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solidFill>
        <a:schemeClr val="bg1"/>
      </a:solidFill>
      <a:prstDash val="solid"/>
      <a:round/>
    </a:ln>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2-4 2017/2018</a:t>
            </a:r>
            <a:r>
              <a:rPr lang="zh-CN" altLang="zh-CN" sz="1100" b="1" i="0" u="none" strike="noStrike" baseline="0">
                <a:effectLst/>
                <a:latin typeface="+mn-ea"/>
                <a:ea typeface="+mn-ea"/>
              </a:rPr>
              <a:t>年度各产棉省份轧工质量占比分布图</a:t>
            </a:r>
            <a:endParaRPr lang="zh-CN" altLang="en-US" sz="1100">
              <a:latin typeface="+mn-ea"/>
              <a:ea typeface="+mn-ea"/>
            </a:endParaRPr>
          </a:p>
        </c:rich>
      </c:tx>
      <c:layout>
        <c:manualLayout>
          <c:xMode val="edge"/>
          <c:yMode val="edge"/>
          <c:x val="0.252180125130578"/>
          <c:y val="0.91609977324263"/>
        </c:manualLayout>
      </c:layout>
      <c:overlay val="0"/>
    </c:title>
    <c:autoTitleDeleted val="0"/>
    <c:plotArea>
      <c:layout>
        <c:manualLayout>
          <c:layoutTarget val="inner"/>
          <c:xMode val="edge"/>
          <c:yMode val="edge"/>
          <c:x val="0.149371014785777"/>
          <c:y val="0.0486848667726058"/>
          <c:w val="0.830140369401043"/>
          <c:h val="0.655932056112034"/>
        </c:manualLayout>
      </c:layout>
      <c:barChart>
        <c:barDir val="col"/>
        <c:grouping val="percentStacked"/>
        <c:varyColors val="0"/>
        <c:ser>
          <c:idx val="0"/>
          <c:order val="0"/>
          <c:tx>
            <c:strRef>
              <c:f>Sheet1!$A$2</c:f>
              <c:strCache>
                <c:ptCount val="1"/>
                <c:pt idx="0">
                  <c:v>好（P1)占比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Sheet1!$B$2:$K$2</c:f>
              <c:numCache>
                <c:formatCode>0.00%</c:formatCode>
                <c:ptCount val="10"/>
                <c:pt idx="0">
                  <c:v>0.0341</c:v>
                </c:pt>
                <c:pt idx="1">
                  <c:v>0</c:v>
                </c:pt>
                <c:pt idx="2">
                  <c:v>0.0003</c:v>
                </c:pt>
                <c:pt idx="3">
                  <c:v>0</c:v>
                </c:pt>
                <c:pt idx="4">
                  <c:v>0</c:v>
                </c:pt>
                <c:pt idx="5">
                  <c:v>0</c:v>
                </c:pt>
                <c:pt idx="6">
                  <c:v>0</c:v>
                </c:pt>
                <c:pt idx="7">
                  <c:v>0</c:v>
                </c:pt>
                <c:pt idx="8">
                  <c:v>0.0118</c:v>
                </c:pt>
                <c:pt idx="9">
                  <c:v>0.036</c:v>
                </c:pt>
              </c:numCache>
            </c:numRef>
          </c:val>
        </c:ser>
        <c:ser>
          <c:idx val="1"/>
          <c:order val="1"/>
          <c:tx>
            <c:strRef>
              <c:f>Sheet1!$A$3</c:f>
              <c:strCache>
                <c:ptCount val="1"/>
                <c:pt idx="0">
                  <c:v>中（P2）占比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Sheet1!$B$3:$K$3</c:f>
              <c:numCache>
                <c:formatCode>0.00%</c:formatCode>
                <c:ptCount val="10"/>
                <c:pt idx="0">
                  <c:v>0.9526</c:v>
                </c:pt>
                <c:pt idx="1">
                  <c:v>0.9999</c:v>
                </c:pt>
                <c:pt idx="2">
                  <c:v>0.9939</c:v>
                </c:pt>
                <c:pt idx="3">
                  <c:v>1</c:v>
                </c:pt>
                <c:pt idx="4">
                  <c:v>1</c:v>
                </c:pt>
                <c:pt idx="5">
                  <c:v>0.9993</c:v>
                </c:pt>
                <c:pt idx="6">
                  <c:v>0.9782</c:v>
                </c:pt>
                <c:pt idx="7">
                  <c:v>0.951</c:v>
                </c:pt>
                <c:pt idx="8">
                  <c:v>0.9882</c:v>
                </c:pt>
                <c:pt idx="9">
                  <c:v>0.9501</c:v>
                </c:pt>
              </c:numCache>
            </c:numRef>
          </c:val>
        </c:ser>
        <c:ser>
          <c:idx val="2"/>
          <c:order val="2"/>
          <c:tx>
            <c:strRef>
              <c:f>Sheet1!$A$4</c:f>
              <c:strCache>
                <c:ptCount val="1"/>
                <c:pt idx="0">
                  <c:v>差（P3）占比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Sheet1!$B$4:$K$4</c:f>
              <c:numCache>
                <c:formatCode>0.00%</c:formatCode>
                <c:ptCount val="10"/>
                <c:pt idx="0">
                  <c:v>0.0133</c:v>
                </c:pt>
                <c:pt idx="1">
                  <c:v>0.0001</c:v>
                </c:pt>
                <c:pt idx="2">
                  <c:v>0.0057</c:v>
                </c:pt>
                <c:pt idx="3">
                  <c:v>0</c:v>
                </c:pt>
                <c:pt idx="4">
                  <c:v>0</c:v>
                </c:pt>
                <c:pt idx="5">
                  <c:v>0.0007</c:v>
                </c:pt>
                <c:pt idx="6">
                  <c:v>0.0218</c:v>
                </c:pt>
                <c:pt idx="7">
                  <c:v>0.049</c:v>
                </c:pt>
                <c:pt idx="8">
                  <c:v>0.0001</c:v>
                </c:pt>
                <c:pt idx="9">
                  <c:v>0.0139</c:v>
                </c:pt>
              </c:numCache>
            </c:numRef>
          </c:val>
        </c:ser>
        <c:dLbls>
          <c:showLegendKey val="0"/>
          <c:showVal val="0"/>
          <c:showCatName val="0"/>
          <c:showSerName val="0"/>
          <c:showPercent val="0"/>
          <c:showBubbleSize val="0"/>
        </c:dLbls>
        <c:gapWidth val="95"/>
        <c:overlap val="100"/>
        <c:axId val="167582208"/>
        <c:axId val="167675584"/>
      </c:barChart>
      <c:catAx>
        <c:axId val="1675822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675584"/>
        <c:crosses val="autoZero"/>
        <c:auto val="1"/>
        <c:lblAlgn val="ctr"/>
        <c:lblOffset val="100"/>
        <c:noMultiLvlLbl val="0"/>
      </c:catAx>
      <c:valAx>
        <c:axId val="16767558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582208"/>
        <c:crosses val="autoZero"/>
        <c:crossBetween val="between"/>
      </c:valAx>
      <c:dTable>
        <c:showHorzBorder val="1"/>
        <c:showVertBorder val="1"/>
        <c:showOutline val="1"/>
        <c:showKeys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2-5 2017/2018</a:t>
            </a:r>
            <a:r>
              <a:rPr lang="zh-CN" altLang="zh-CN" sz="1100" b="1" i="0" u="none" strike="noStrike" baseline="0">
                <a:effectLst/>
                <a:latin typeface="+mn-ea"/>
                <a:ea typeface="+mn-ea"/>
              </a:rPr>
              <a:t>年度全国各产棉省份棉花长度级对比图</a:t>
            </a:r>
            <a:endParaRPr lang="zh-CN" altLang="en-US" sz="1100">
              <a:latin typeface="+mn-ea"/>
              <a:ea typeface="+mn-ea"/>
            </a:endParaRPr>
          </a:p>
        </c:rich>
      </c:tx>
      <c:layout>
        <c:manualLayout>
          <c:xMode val="edge"/>
          <c:yMode val="edge"/>
          <c:x val="0.180798702245553"/>
          <c:y val="0.938186019641826"/>
        </c:manualLayout>
      </c:layout>
      <c:overlay val="0"/>
    </c:title>
    <c:autoTitleDeleted val="0"/>
    <c:plotArea>
      <c:layout>
        <c:manualLayout>
          <c:layoutTarget val="inner"/>
          <c:xMode val="edge"/>
          <c:yMode val="edge"/>
          <c:x val="0.185149278215223"/>
          <c:y val="0.0312016630503509"/>
          <c:w val="0.787072944006999"/>
          <c:h val="0.627555507034758"/>
        </c:manualLayout>
      </c:layout>
      <c:barChart>
        <c:barDir val="col"/>
        <c:grouping val="clustered"/>
        <c:varyColors val="0"/>
        <c:ser>
          <c:idx val="0"/>
          <c:order val="0"/>
          <c:tx>
            <c:strRef>
              <c:f>Sheet1!$B$1</c:f>
              <c:strCache>
                <c:ptCount val="1"/>
                <c:pt idx="0">
                  <c:v>逐包检验
平均长度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0.00_);[Red]\(0.00\)</c:formatCode>
                <c:ptCount val="10"/>
                <c:pt idx="0">
                  <c:v>29</c:v>
                </c:pt>
                <c:pt idx="1">
                  <c:v>28.82</c:v>
                </c:pt>
                <c:pt idx="2">
                  <c:v>28.17</c:v>
                </c:pt>
                <c:pt idx="3">
                  <c:v>28.24</c:v>
                </c:pt>
                <c:pt idx="4">
                  <c:v>27.72</c:v>
                </c:pt>
                <c:pt idx="5">
                  <c:v>28.29</c:v>
                </c:pt>
                <c:pt idx="6">
                  <c:v>27.45</c:v>
                </c:pt>
                <c:pt idx="7">
                  <c:v>28.04</c:v>
                </c:pt>
                <c:pt idx="8">
                  <c:v>29.46</c:v>
                </c:pt>
                <c:pt idx="9">
                  <c:v>29.03</c:v>
                </c:pt>
              </c:numCache>
            </c:numRef>
          </c:val>
        </c:ser>
        <c:ser>
          <c:idx val="1"/>
          <c:order val="1"/>
          <c:tx>
            <c:strRef>
              <c:f>Sheet1!$C$1</c:f>
              <c:strCache>
                <c:ptCount val="1"/>
                <c:pt idx="0">
                  <c:v>长度级加
权平均值</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0.00_);[Red]\(0.00\)</c:formatCode>
                <c:ptCount val="10"/>
                <c:pt idx="0">
                  <c:v>28.55</c:v>
                </c:pt>
                <c:pt idx="1">
                  <c:v>28.37</c:v>
                </c:pt>
                <c:pt idx="2">
                  <c:v>27.72</c:v>
                </c:pt>
                <c:pt idx="3">
                  <c:v>27.79</c:v>
                </c:pt>
                <c:pt idx="4">
                  <c:v>27.28</c:v>
                </c:pt>
                <c:pt idx="5">
                  <c:v>27.85</c:v>
                </c:pt>
                <c:pt idx="6">
                  <c:v>27.01</c:v>
                </c:pt>
                <c:pt idx="7">
                  <c:v>27.62</c:v>
                </c:pt>
                <c:pt idx="8">
                  <c:v>29.01</c:v>
                </c:pt>
                <c:pt idx="9">
                  <c:v>28.59</c:v>
                </c:pt>
              </c:numCache>
            </c:numRef>
          </c:val>
        </c:ser>
        <c:ser>
          <c:idx val="2"/>
          <c:order val="2"/>
          <c:tx>
            <c:strRef>
              <c:f>Sheet1!$D$1</c:f>
              <c:strCache>
                <c:ptCount val="1"/>
                <c:pt idx="0">
                  <c:v>最大长度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0.00_);[Red]\(0.00\)</c:formatCode>
                <c:ptCount val="10"/>
                <c:pt idx="0">
                  <c:v>36.5</c:v>
                </c:pt>
                <c:pt idx="1">
                  <c:v>30.6</c:v>
                </c:pt>
                <c:pt idx="2">
                  <c:v>31.4</c:v>
                </c:pt>
                <c:pt idx="3">
                  <c:v>35</c:v>
                </c:pt>
                <c:pt idx="4">
                  <c:v>31.8</c:v>
                </c:pt>
                <c:pt idx="5">
                  <c:v>35.3</c:v>
                </c:pt>
                <c:pt idx="6">
                  <c:v>30.7</c:v>
                </c:pt>
                <c:pt idx="7">
                  <c:v>30.2</c:v>
                </c:pt>
                <c:pt idx="8">
                  <c:v>32.7</c:v>
                </c:pt>
                <c:pt idx="9">
                  <c:v>36.5</c:v>
                </c:pt>
              </c:numCache>
            </c:numRef>
          </c:val>
        </c:ser>
        <c:ser>
          <c:idx val="3"/>
          <c:order val="3"/>
          <c:tx>
            <c:strRef>
              <c:f>Sheet1!$E$1</c:f>
              <c:strCache>
                <c:ptCount val="1"/>
                <c:pt idx="0">
                  <c:v>最小长度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Sheet1!$E$2:$E$11</c:f>
              <c:numCache>
                <c:formatCode>0.00_);[Red]\(0.00\)</c:formatCode>
                <c:ptCount val="10"/>
                <c:pt idx="0">
                  <c:v>22.7</c:v>
                </c:pt>
                <c:pt idx="1">
                  <c:v>25.3</c:v>
                </c:pt>
                <c:pt idx="2">
                  <c:v>24.7</c:v>
                </c:pt>
                <c:pt idx="3">
                  <c:v>24.5</c:v>
                </c:pt>
                <c:pt idx="4">
                  <c:v>24.4</c:v>
                </c:pt>
                <c:pt idx="5">
                  <c:v>24.8</c:v>
                </c:pt>
                <c:pt idx="6">
                  <c:v>24.4</c:v>
                </c:pt>
                <c:pt idx="7">
                  <c:v>26.1</c:v>
                </c:pt>
                <c:pt idx="8">
                  <c:v>25.6</c:v>
                </c:pt>
                <c:pt idx="9">
                  <c:v>22.7</c:v>
                </c:pt>
              </c:numCache>
            </c:numRef>
          </c:val>
        </c:ser>
        <c:dLbls>
          <c:showLegendKey val="0"/>
          <c:showVal val="0"/>
          <c:showCatName val="0"/>
          <c:showSerName val="0"/>
          <c:showPercent val="0"/>
          <c:showBubbleSize val="0"/>
        </c:dLbls>
        <c:gapWidth val="150"/>
        <c:axId val="167834112"/>
        <c:axId val="167677312"/>
      </c:barChart>
      <c:catAx>
        <c:axId val="1678341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677312"/>
        <c:crosses val="autoZero"/>
        <c:auto val="1"/>
        <c:lblAlgn val="ctr"/>
        <c:lblOffset val="100"/>
        <c:noMultiLvlLbl val="0"/>
      </c:catAx>
      <c:valAx>
        <c:axId val="16767731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单位：毫米</a:t>
                </a:r>
                <a:endParaRPr lang="zh-CN" altLang="en-US"/>
              </a:p>
            </c:rich>
          </c:tx>
          <c:layout/>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83411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2-6 2017/2018</a:t>
            </a:r>
            <a:r>
              <a:rPr lang="zh-CN" altLang="zh-CN" sz="1100" b="1" i="0" u="none" strike="noStrike" baseline="0">
                <a:effectLst/>
                <a:latin typeface="+mn-ea"/>
                <a:ea typeface="+mn-ea"/>
              </a:rPr>
              <a:t>年度各产棉省份逐包检验棉花长度级占比分布图</a:t>
            </a:r>
            <a:endParaRPr lang="zh-CN" altLang="en-US" sz="1100">
              <a:latin typeface="+mn-ea"/>
              <a:ea typeface="+mn-ea"/>
            </a:endParaRPr>
          </a:p>
        </c:rich>
      </c:tx>
      <c:layout>
        <c:manualLayout>
          <c:xMode val="edge"/>
          <c:yMode val="edge"/>
          <c:x val="0.198196957836411"/>
          <c:y val="0.939031339031339"/>
        </c:manualLayout>
      </c:layout>
      <c:overlay val="0"/>
    </c:title>
    <c:autoTitleDeleted val="0"/>
    <c:plotArea>
      <c:layout>
        <c:manualLayout>
          <c:layoutTarget val="inner"/>
          <c:xMode val="edge"/>
          <c:yMode val="edge"/>
          <c:x val="0.167836257309942"/>
          <c:y val="0.0252640593776763"/>
          <c:w val="0.82046783625731"/>
          <c:h val="0.492863260062803"/>
        </c:manualLayout>
      </c:layout>
      <c:barChart>
        <c:barDir val="col"/>
        <c:grouping val="percentStacked"/>
        <c:varyColors val="0"/>
        <c:ser>
          <c:idx val="0"/>
          <c:order val="0"/>
          <c:tx>
            <c:strRef>
              <c:f>Sheet1!$A$2</c:f>
              <c:strCache>
                <c:ptCount val="1"/>
                <c:pt idx="0">
                  <c:v>32毫米占比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Sheet1!$B$2:$K$2</c:f>
              <c:numCache>
                <c:formatCode>0.00%</c:formatCode>
                <c:ptCount val="10"/>
                <c:pt idx="0">
                  <c:v>0.0005</c:v>
                </c:pt>
                <c:pt idx="1">
                  <c:v>0</c:v>
                </c:pt>
                <c:pt idx="2">
                  <c:v>0</c:v>
                </c:pt>
                <c:pt idx="3">
                  <c:v>0</c:v>
                </c:pt>
                <c:pt idx="4">
                  <c:v>0</c:v>
                </c:pt>
                <c:pt idx="5">
                  <c:v>0</c:v>
                </c:pt>
                <c:pt idx="6">
                  <c:v>0</c:v>
                </c:pt>
                <c:pt idx="7">
                  <c:v>0</c:v>
                </c:pt>
                <c:pt idx="8">
                  <c:v>0</c:v>
                </c:pt>
                <c:pt idx="9">
                  <c:v>0.0005</c:v>
                </c:pt>
              </c:numCache>
            </c:numRef>
          </c:val>
        </c:ser>
        <c:ser>
          <c:idx val="1"/>
          <c:order val="1"/>
          <c:tx>
            <c:strRef>
              <c:f>Sheet1!$A$3</c:f>
              <c:strCache>
                <c:ptCount val="1"/>
                <c:pt idx="0">
                  <c:v>31毫米占比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Sheet1!$B$3:$K$3</c:f>
              <c:numCache>
                <c:formatCode>0.00%</c:formatCode>
                <c:ptCount val="10"/>
                <c:pt idx="0">
                  <c:v>0.0065</c:v>
                </c:pt>
                <c:pt idx="1">
                  <c:v>0</c:v>
                </c:pt>
                <c:pt idx="2">
                  <c:v>0.0001</c:v>
                </c:pt>
                <c:pt idx="3">
                  <c:v>0.0001</c:v>
                </c:pt>
                <c:pt idx="4">
                  <c:v>0.0001</c:v>
                </c:pt>
                <c:pt idx="5">
                  <c:v>0</c:v>
                </c:pt>
                <c:pt idx="6">
                  <c:v>0</c:v>
                </c:pt>
                <c:pt idx="7">
                  <c:v>0</c:v>
                </c:pt>
                <c:pt idx="8">
                  <c:v>0.0028</c:v>
                </c:pt>
                <c:pt idx="9">
                  <c:v>0.0068</c:v>
                </c:pt>
              </c:numCache>
            </c:numRef>
          </c:val>
        </c:ser>
        <c:ser>
          <c:idx val="2"/>
          <c:order val="2"/>
          <c:tx>
            <c:strRef>
              <c:f>Sheet1!$A$4</c:f>
              <c:strCache>
                <c:ptCount val="1"/>
                <c:pt idx="0">
                  <c:v>30毫米占比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Sheet1!$B$4:$K$4</c:f>
              <c:numCache>
                <c:formatCode>0.00%</c:formatCode>
                <c:ptCount val="10"/>
                <c:pt idx="0">
                  <c:v>0.0963</c:v>
                </c:pt>
                <c:pt idx="1">
                  <c:v>0.0076</c:v>
                </c:pt>
                <c:pt idx="2">
                  <c:v>0.0064</c:v>
                </c:pt>
                <c:pt idx="3">
                  <c:v>0.0047</c:v>
                </c:pt>
                <c:pt idx="4">
                  <c:v>0.0024</c:v>
                </c:pt>
                <c:pt idx="5">
                  <c:v>0.0038</c:v>
                </c:pt>
                <c:pt idx="6">
                  <c:v>0.0014</c:v>
                </c:pt>
                <c:pt idx="7">
                  <c:v>0.0009</c:v>
                </c:pt>
                <c:pt idx="8">
                  <c:v>0.1705</c:v>
                </c:pt>
                <c:pt idx="9">
                  <c:v>0.1004</c:v>
                </c:pt>
              </c:numCache>
            </c:numRef>
          </c:val>
        </c:ser>
        <c:ser>
          <c:idx val="3"/>
          <c:order val="3"/>
          <c:tx>
            <c:strRef>
              <c:f>Sheet1!$A$5</c:f>
              <c:strCache>
                <c:ptCount val="1"/>
                <c:pt idx="0">
                  <c:v>29毫米占比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Sheet1!$B$5:$K$5</c:f>
              <c:numCache>
                <c:formatCode>0.00%</c:formatCode>
                <c:ptCount val="10"/>
                <c:pt idx="0">
                  <c:v>0.4233</c:v>
                </c:pt>
                <c:pt idx="1">
                  <c:v>0.3855</c:v>
                </c:pt>
                <c:pt idx="2">
                  <c:v>0.1439</c:v>
                </c:pt>
                <c:pt idx="3">
                  <c:v>0.1481</c:v>
                </c:pt>
                <c:pt idx="4">
                  <c:v>0.101</c:v>
                </c:pt>
                <c:pt idx="5">
                  <c:v>0.1792</c:v>
                </c:pt>
                <c:pt idx="6">
                  <c:v>0.0303</c:v>
                </c:pt>
                <c:pt idx="7">
                  <c:v>0.0734</c:v>
                </c:pt>
                <c:pt idx="8">
                  <c:v>0.6645</c:v>
                </c:pt>
                <c:pt idx="9">
                  <c:v>0.4345</c:v>
                </c:pt>
              </c:numCache>
            </c:numRef>
          </c:val>
        </c:ser>
        <c:ser>
          <c:idx val="4"/>
          <c:order val="4"/>
          <c:tx>
            <c:strRef>
              <c:f>Sheet1!$A$6</c:f>
              <c:strCache>
                <c:ptCount val="1"/>
                <c:pt idx="0">
                  <c:v>28毫米占比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Sheet1!$B$6:$K$6</c:f>
              <c:numCache>
                <c:formatCode>0.00%</c:formatCode>
                <c:ptCount val="10"/>
                <c:pt idx="0">
                  <c:v>0.3936</c:v>
                </c:pt>
                <c:pt idx="1">
                  <c:v>0.5754</c:v>
                </c:pt>
                <c:pt idx="2">
                  <c:v>0.4704</c:v>
                </c:pt>
                <c:pt idx="3">
                  <c:v>0.5171</c:v>
                </c:pt>
                <c:pt idx="4">
                  <c:v>0.3784</c:v>
                </c:pt>
                <c:pt idx="5">
                  <c:v>0.524</c:v>
                </c:pt>
                <c:pt idx="6">
                  <c:v>0.2146</c:v>
                </c:pt>
                <c:pt idx="7">
                  <c:v>0.5105</c:v>
                </c:pt>
                <c:pt idx="8">
                  <c:v>0.1583</c:v>
                </c:pt>
                <c:pt idx="9">
                  <c:v>0.3902</c:v>
                </c:pt>
              </c:numCache>
            </c:numRef>
          </c:val>
        </c:ser>
        <c:ser>
          <c:idx val="5"/>
          <c:order val="5"/>
          <c:tx>
            <c:strRef>
              <c:f>Sheet1!$A$7</c:f>
              <c:strCache>
                <c:ptCount val="1"/>
                <c:pt idx="0">
                  <c:v>27毫米占比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Sheet1!$B$7:$K$7</c:f>
              <c:numCache>
                <c:formatCode>0.00%</c:formatCode>
                <c:ptCount val="10"/>
                <c:pt idx="0">
                  <c:v>0.0752</c:v>
                </c:pt>
                <c:pt idx="1">
                  <c:v>0.0294</c:v>
                </c:pt>
                <c:pt idx="2">
                  <c:v>0.3196</c:v>
                </c:pt>
                <c:pt idx="3">
                  <c:v>0.2901</c:v>
                </c:pt>
                <c:pt idx="4">
                  <c:v>0.2588</c:v>
                </c:pt>
                <c:pt idx="5">
                  <c:v>0.2505</c:v>
                </c:pt>
                <c:pt idx="6">
                  <c:v>0.4963</c:v>
                </c:pt>
                <c:pt idx="7">
                  <c:v>0.3741</c:v>
                </c:pt>
                <c:pt idx="8">
                  <c:v>0.0036</c:v>
                </c:pt>
                <c:pt idx="9">
                  <c:v>0.0656</c:v>
                </c:pt>
              </c:numCache>
            </c:numRef>
          </c:val>
        </c:ser>
        <c:ser>
          <c:idx val="6"/>
          <c:order val="6"/>
          <c:tx>
            <c:strRef>
              <c:f>Sheet1!$A$8</c:f>
              <c:strCache>
                <c:ptCount val="1"/>
                <c:pt idx="0">
                  <c:v>26毫米占比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Sheet1!$B$8:$K$8</c:f>
              <c:numCache>
                <c:formatCode>0.00%</c:formatCode>
                <c:ptCount val="10"/>
                <c:pt idx="0">
                  <c:v>0.0044</c:v>
                </c:pt>
                <c:pt idx="1">
                  <c:v>0.0018</c:v>
                </c:pt>
                <c:pt idx="2">
                  <c:v>0.0574</c:v>
                </c:pt>
                <c:pt idx="3">
                  <c:v>0.0374</c:v>
                </c:pt>
                <c:pt idx="4">
                  <c:v>0.2076</c:v>
                </c:pt>
                <c:pt idx="5">
                  <c:v>0.0411</c:v>
                </c:pt>
                <c:pt idx="6">
                  <c:v>0.2433</c:v>
                </c:pt>
                <c:pt idx="7">
                  <c:v>0.0411</c:v>
                </c:pt>
                <c:pt idx="8">
                  <c:v>0.0002</c:v>
                </c:pt>
                <c:pt idx="9">
                  <c:v>0.0019</c:v>
                </c:pt>
              </c:numCache>
            </c:numRef>
          </c:val>
        </c:ser>
        <c:ser>
          <c:idx val="7"/>
          <c:order val="7"/>
          <c:tx>
            <c:strRef>
              <c:f>Sheet1!$A$9</c:f>
              <c:strCache>
                <c:ptCount val="1"/>
                <c:pt idx="0">
                  <c:v>25毫米占比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Sheet1!$B$9:$K$9</c:f>
              <c:numCache>
                <c:formatCode>0.00%</c:formatCode>
                <c:ptCount val="10"/>
                <c:pt idx="0">
                  <c:v>0.0003</c:v>
                </c:pt>
                <c:pt idx="1">
                  <c:v>0.0002</c:v>
                </c:pt>
                <c:pt idx="2">
                  <c:v>0.0021</c:v>
                </c:pt>
                <c:pt idx="3">
                  <c:v>0.0025</c:v>
                </c:pt>
                <c:pt idx="4">
                  <c:v>0.0517</c:v>
                </c:pt>
                <c:pt idx="5">
                  <c:v>0.0013</c:v>
                </c:pt>
                <c:pt idx="6">
                  <c:v>0.0142</c:v>
                </c:pt>
                <c:pt idx="7">
                  <c:v>0</c:v>
                </c:pt>
                <c:pt idx="8">
                  <c:v>0</c:v>
                </c:pt>
                <c:pt idx="9">
                  <c:v>0.0001</c:v>
                </c:pt>
              </c:numCache>
            </c:numRef>
          </c:val>
        </c:ser>
        <c:dLbls>
          <c:showLegendKey val="0"/>
          <c:showVal val="0"/>
          <c:showCatName val="0"/>
          <c:showSerName val="0"/>
          <c:showPercent val="0"/>
          <c:showBubbleSize val="0"/>
        </c:dLbls>
        <c:gapWidth val="95"/>
        <c:overlap val="100"/>
        <c:axId val="167482880"/>
        <c:axId val="167679040"/>
      </c:barChart>
      <c:catAx>
        <c:axId val="1674828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679040"/>
        <c:crosses val="autoZero"/>
        <c:auto val="1"/>
        <c:lblAlgn val="ctr"/>
        <c:lblOffset val="100"/>
        <c:noMultiLvlLbl val="0"/>
      </c:catAx>
      <c:valAx>
        <c:axId val="167679040"/>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4828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2-7 2013/2014</a:t>
            </a:r>
            <a:r>
              <a:rPr lang="zh-CN" altLang="zh-CN" sz="1100" b="1" i="0" u="none" strike="noStrike" baseline="0">
                <a:effectLst/>
                <a:latin typeface="+mn-ea"/>
                <a:ea typeface="+mn-ea"/>
              </a:rPr>
              <a:t>年度</a:t>
            </a:r>
            <a:r>
              <a:rPr lang="en-US" altLang="zh-CN" sz="1100" b="1" i="0" u="none" strike="noStrike" baseline="0">
                <a:effectLst/>
                <a:latin typeface="+mn-ea"/>
                <a:ea typeface="+mn-ea"/>
              </a:rPr>
              <a:t>-2017/2018</a:t>
            </a:r>
            <a:r>
              <a:rPr lang="zh-CN" altLang="zh-CN" sz="1100" b="1" i="0" u="none" strike="noStrike" baseline="0">
                <a:effectLst/>
                <a:latin typeface="+mn-ea"/>
                <a:ea typeface="+mn-ea"/>
              </a:rPr>
              <a:t>年度全国棉花长度变化情况图</a:t>
            </a:r>
            <a:endParaRPr lang="zh-CN" altLang="en-US" sz="1100">
              <a:latin typeface="+mn-ea"/>
              <a:ea typeface="+mn-ea"/>
            </a:endParaRPr>
          </a:p>
        </c:rich>
      </c:tx>
      <c:layout>
        <c:manualLayout>
          <c:xMode val="edge"/>
          <c:yMode val="edge"/>
          <c:x val="0.194710743801653"/>
          <c:y val="0.954248366013072"/>
        </c:manualLayout>
      </c:layout>
      <c:overlay val="0"/>
    </c:title>
    <c:autoTitleDeleted val="0"/>
    <c:plotArea>
      <c:layout>
        <c:manualLayout>
          <c:layoutTarget val="inner"/>
          <c:xMode val="edge"/>
          <c:yMode val="edge"/>
          <c:x val="0.175098351940457"/>
          <c:y val="0.0165191740412979"/>
          <c:w val="0.733868306980266"/>
          <c:h val="0.605427728613569"/>
        </c:manualLayout>
      </c:layout>
      <c:barChart>
        <c:barDir val="col"/>
        <c:grouping val="percentStacked"/>
        <c:varyColors val="0"/>
        <c:ser>
          <c:idx val="2"/>
          <c:order val="2"/>
          <c:tx>
            <c:strRef>
              <c:f>Sheet1!$D$1</c:f>
              <c:strCache>
                <c:ptCount val="1"/>
                <c:pt idx="0">
                  <c:v>25-27毫米</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0.00%</c:formatCode>
                <c:ptCount val="5"/>
                <c:pt idx="0">
                  <c:v>0.2863</c:v>
                </c:pt>
                <c:pt idx="1">
                  <c:v>0.1355</c:v>
                </c:pt>
                <c:pt idx="2">
                  <c:v>0.263</c:v>
                </c:pt>
                <c:pt idx="3">
                  <c:v>0.0755</c:v>
                </c:pt>
                <c:pt idx="4">
                  <c:v>0.0798</c:v>
                </c:pt>
              </c:numCache>
            </c:numRef>
          </c:val>
        </c:ser>
        <c:ser>
          <c:idx val="3"/>
          <c:order val="3"/>
          <c:tx>
            <c:strRef>
              <c:f>Sheet1!$E$1</c:f>
              <c:strCache>
                <c:ptCount val="1"/>
                <c:pt idx="0">
                  <c:v>28-29毫米</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Sheet1!$E$2:$E$6</c:f>
              <c:numCache>
                <c:formatCode>0.00%</c:formatCode>
                <c:ptCount val="5"/>
                <c:pt idx="0">
                  <c:v>0.6969</c:v>
                </c:pt>
                <c:pt idx="1">
                  <c:v>0.8369</c:v>
                </c:pt>
                <c:pt idx="2">
                  <c:v>0.6905</c:v>
                </c:pt>
                <c:pt idx="3">
                  <c:v>0.8135</c:v>
                </c:pt>
                <c:pt idx="4">
                  <c:v>0.8169</c:v>
                </c:pt>
              </c:numCache>
            </c:numRef>
          </c:val>
        </c:ser>
        <c:ser>
          <c:idx val="4"/>
          <c:order val="4"/>
          <c:tx>
            <c:strRef>
              <c:f>Sheet1!$F$1</c:f>
              <c:strCache>
                <c:ptCount val="1"/>
                <c:pt idx="0">
                  <c:v>30-32毫米</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Sheet1!$F$2:$F$6</c:f>
              <c:numCache>
                <c:formatCode>0.00%</c:formatCode>
                <c:ptCount val="5"/>
                <c:pt idx="0">
                  <c:v>0.0168</c:v>
                </c:pt>
                <c:pt idx="1">
                  <c:v>0.0276</c:v>
                </c:pt>
                <c:pt idx="2">
                  <c:v>0.0464</c:v>
                </c:pt>
                <c:pt idx="3">
                  <c:v>0.1111</c:v>
                </c:pt>
                <c:pt idx="4">
                  <c:v>0.1033</c:v>
                </c:pt>
              </c:numCache>
            </c:numRef>
          </c:val>
        </c:ser>
        <c:dLbls>
          <c:showLegendKey val="0"/>
          <c:showVal val="1"/>
          <c:showCatName val="0"/>
          <c:showSerName val="0"/>
          <c:showPercent val="0"/>
          <c:showBubbleSize val="0"/>
        </c:dLbls>
        <c:gapWidth val="150"/>
        <c:axId val="167481856"/>
        <c:axId val="167680768"/>
      </c:barChart>
      <c:lineChart>
        <c:grouping val="standard"/>
        <c:varyColors val="0"/>
        <c:ser>
          <c:idx val="0"/>
          <c:order val="0"/>
          <c:tx>
            <c:strRef>
              <c:f>Sheet1!$B$1</c:f>
              <c:strCache>
                <c:ptCount val="1"/>
                <c:pt idx="0">
                  <c:v>逐包检验
平均长度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0.00_ </c:formatCode>
                <c:ptCount val="5"/>
                <c:pt idx="0">
                  <c:v>28.37</c:v>
                </c:pt>
                <c:pt idx="1">
                  <c:v>28.53</c:v>
                </c:pt>
                <c:pt idx="2">
                  <c:v>28.5</c:v>
                </c:pt>
                <c:pt idx="3" c:formatCode="General">
                  <c:v>29.02</c:v>
                </c:pt>
                <c:pt idx="4">
                  <c:v>29</c:v>
                </c:pt>
              </c:numCache>
            </c:numRef>
          </c:val>
          <c:smooth val="0"/>
        </c:ser>
        <c:ser>
          <c:idx val="1"/>
          <c:order val="1"/>
          <c:tx>
            <c:strRef>
              <c:f>Sheet1!$C$1</c:f>
              <c:strCache>
                <c:ptCount val="1"/>
                <c:pt idx="0">
                  <c:v>长度级加
权平均值</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0.00_ </c:formatCode>
                <c:ptCount val="5"/>
                <c:pt idx="0">
                  <c:v>27.92</c:v>
                </c:pt>
                <c:pt idx="1">
                  <c:v>28.09</c:v>
                </c:pt>
                <c:pt idx="2">
                  <c:v>28.05</c:v>
                </c:pt>
                <c:pt idx="3" c:formatCode="General">
                  <c:v>28.58</c:v>
                </c:pt>
                <c:pt idx="4">
                  <c:v>28.55</c:v>
                </c:pt>
              </c:numCache>
            </c:numRef>
          </c:val>
          <c:smooth val="0"/>
        </c:ser>
        <c:dLbls>
          <c:showLegendKey val="0"/>
          <c:showVal val="1"/>
          <c:showCatName val="0"/>
          <c:showSerName val="0"/>
          <c:showPercent val="0"/>
          <c:showBubbleSize val="0"/>
        </c:dLbls>
        <c:marker val="1"/>
        <c:smooth val="0"/>
        <c:axId val="167579648"/>
        <c:axId val="167681344"/>
      </c:lineChart>
      <c:catAx>
        <c:axId val="1674818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680768"/>
        <c:crosses val="autoZero"/>
        <c:auto val="1"/>
        <c:lblAlgn val="ctr"/>
        <c:lblOffset val="100"/>
        <c:noMultiLvlLbl val="0"/>
      </c:catAx>
      <c:valAx>
        <c:axId val="16768076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481856"/>
        <c:crosses val="autoZero"/>
        <c:crossBetween val="between"/>
      </c:valAx>
      <c:catAx>
        <c:axId val="16757964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681344"/>
        <c:crosses val="autoZero"/>
        <c:auto val="1"/>
        <c:lblAlgn val="ctr"/>
        <c:lblOffset val="100"/>
        <c:noMultiLvlLbl val="0"/>
      </c:catAx>
      <c:valAx>
        <c:axId val="167681344"/>
        <c:scaling>
          <c:orientation val="minMax"/>
        </c:scaling>
        <c:delete val="0"/>
        <c:axPos val="r"/>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579648"/>
        <c:crosses val="max"/>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2-8 2017/2018</a:t>
            </a:r>
            <a:r>
              <a:rPr lang="zh-CN" altLang="zh-CN" sz="1100" b="1" i="0" u="none" strike="noStrike" baseline="0">
                <a:effectLst/>
                <a:latin typeface="+mn-ea"/>
                <a:ea typeface="+mn-ea"/>
              </a:rPr>
              <a:t>年度各产棉省份马克隆值级占比分布图</a:t>
            </a:r>
            <a:endParaRPr lang="zh-CN" altLang="en-US" sz="1100">
              <a:latin typeface="+mn-ea"/>
              <a:ea typeface="+mn-ea"/>
            </a:endParaRPr>
          </a:p>
        </c:rich>
      </c:tx>
      <c:layout>
        <c:manualLayout>
          <c:xMode val="edge"/>
          <c:yMode val="edge"/>
          <c:x val="0.242169312788353"/>
          <c:y val="0.911976911976912"/>
        </c:manualLayout>
      </c:layout>
      <c:overlay val="0"/>
    </c:title>
    <c:autoTitleDeleted val="0"/>
    <c:plotArea>
      <c:layout>
        <c:manualLayout>
          <c:layoutTarget val="inner"/>
          <c:xMode val="edge"/>
          <c:yMode val="edge"/>
          <c:x val="0.141654284299158"/>
          <c:y val="0.0175572519083969"/>
          <c:w val="0.836552748885587"/>
          <c:h val="0.641730279898219"/>
        </c:manualLayout>
      </c:layout>
      <c:barChart>
        <c:barDir val="col"/>
        <c:grouping val="percentStacked"/>
        <c:varyColors val="0"/>
        <c:ser>
          <c:idx val="0"/>
          <c:order val="0"/>
          <c:tx>
            <c:strRef>
              <c:f>Sheet1!$A$2</c:f>
              <c:strCache>
                <c:ptCount val="1"/>
                <c:pt idx="0">
                  <c:v>A档占比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Sheet1!$B$2:$K$2</c:f>
              <c:numCache>
                <c:formatCode>0.00%</c:formatCode>
                <c:ptCount val="10"/>
                <c:pt idx="0">
                  <c:v>0.1515</c:v>
                </c:pt>
                <c:pt idx="1">
                  <c:v>0.0006</c:v>
                </c:pt>
                <c:pt idx="2">
                  <c:v>0.0071</c:v>
                </c:pt>
                <c:pt idx="3">
                  <c:v>0.0046</c:v>
                </c:pt>
                <c:pt idx="4">
                  <c:v>0.111</c:v>
                </c:pt>
                <c:pt idx="5">
                  <c:v>0.0129</c:v>
                </c:pt>
                <c:pt idx="6">
                  <c:v>0.0299</c:v>
                </c:pt>
                <c:pt idx="7">
                  <c:v>0.1329</c:v>
                </c:pt>
                <c:pt idx="8">
                  <c:v>0.68</c:v>
                </c:pt>
                <c:pt idx="9">
                  <c:v>0.1543</c:v>
                </c:pt>
              </c:numCache>
            </c:numRef>
          </c:val>
        </c:ser>
        <c:ser>
          <c:idx val="1"/>
          <c:order val="1"/>
          <c:tx>
            <c:strRef>
              <c:f>Sheet1!$A$3</c:f>
              <c:strCache>
                <c:ptCount val="1"/>
                <c:pt idx="0">
                  <c:v>B1档占比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Sheet1!$B$3:$K$3</c:f>
              <c:numCache>
                <c:formatCode>0.00%</c:formatCode>
                <c:ptCount val="10"/>
                <c:pt idx="0">
                  <c:v>0.0073</c:v>
                </c:pt>
                <c:pt idx="1">
                  <c:v>0</c:v>
                </c:pt>
                <c:pt idx="2">
                  <c:v>0.0011</c:v>
                </c:pt>
                <c:pt idx="3">
                  <c:v>0.0002</c:v>
                </c:pt>
                <c:pt idx="4">
                  <c:v>0.0094</c:v>
                </c:pt>
                <c:pt idx="5">
                  <c:v>0.0015</c:v>
                </c:pt>
                <c:pt idx="6">
                  <c:v>0.006</c:v>
                </c:pt>
                <c:pt idx="7">
                  <c:v>0.0087</c:v>
                </c:pt>
                <c:pt idx="8">
                  <c:v>0.0735</c:v>
                </c:pt>
                <c:pt idx="9">
                  <c:v>0.007</c:v>
                </c:pt>
              </c:numCache>
            </c:numRef>
          </c:val>
        </c:ser>
        <c:ser>
          <c:idx val="2"/>
          <c:order val="2"/>
          <c:tx>
            <c:strRef>
              <c:f>Sheet1!$A$4</c:f>
              <c:strCache>
                <c:ptCount val="1"/>
                <c:pt idx="0">
                  <c:v>B2档占比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Sheet1!$B$4:$K$4</c:f>
              <c:numCache>
                <c:formatCode>0.00%</c:formatCode>
                <c:ptCount val="10"/>
                <c:pt idx="0">
                  <c:v>0.6374</c:v>
                </c:pt>
                <c:pt idx="1">
                  <c:v>0.1536</c:v>
                </c:pt>
                <c:pt idx="2">
                  <c:v>0.1917</c:v>
                </c:pt>
                <c:pt idx="3">
                  <c:v>0.3569</c:v>
                </c:pt>
                <c:pt idx="4">
                  <c:v>0.4606</c:v>
                </c:pt>
                <c:pt idx="5">
                  <c:v>0.548</c:v>
                </c:pt>
                <c:pt idx="6">
                  <c:v>0.3105</c:v>
                </c:pt>
                <c:pt idx="7">
                  <c:v>0.8313</c:v>
                </c:pt>
                <c:pt idx="8">
                  <c:v>0.1619</c:v>
                </c:pt>
                <c:pt idx="9">
                  <c:v>0.6512</c:v>
                </c:pt>
              </c:numCache>
            </c:numRef>
          </c:val>
        </c:ser>
        <c:ser>
          <c:idx val="3"/>
          <c:order val="3"/>
          <c:tx>
            <c:strRef>
              <c:f>Sheet1!$A$5</c:f>
              <c:strCache>
                <c:ptCount val="1"/>
                <c:pt idx="0">
                  <c:v>C1档占比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Sheet1!$B$5:$K$5</c:f>
              <c:numCache>
                <c:formatCode>0.00%</c:formatCode>
                <c:ptCount val="10"/>
                <c:pt idx="0">
                  <c:v>0.0069</c:v>
                </c:pt>
                <c:pt idx="1">
                  <c:v>0</c:v>
                </c:pt>
                <c:pt idx="2">
                  <c:v>0.0172</c:v>
                </c:pt>
                <c:pt idx="3">
                  <c:v>0.0001</c:v>
                </c:pt>
                <c:pt idx="4">
                  <c:v>0.0087</c:v>
                </c:pt>
                <c:pt idx="5">
                  <c:v>0.0016</c:v>
                </c:pt>
                <c:pt idx="6">
                  <c:v>0.0212</c:v>
                </c:pt>
                <c:pt idx="7">
                  <c:v>0.0026</c:v>
                </c:pt>
                <c:pt idx="8">
                  <c:v>0.0844</c:v>
                </c:pt>
                <c:pt idx="9">
                  <c:v>0.0063</c:v>
                </c:pt>
              </c:numCache>
            </c:numRef>
          </c:val>
        </c:ser>
        <c:ser>
          <c:idx val="4"/>
          <c:order val="4"/>
          <c:tx>
            <c:strRef>
              <c:f>Sheet1!$A$6</c:f>
              <c:strCache>
                <c:ptCount val="1"/>
                <c:pt idx="0">
                  <c:v>C2档占比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Sheet1!$B$6:$K$6</c:f>
              <c:numCache>
                <c:formatCode>0.00%</c:formatCode>
                <c:ptCount val="10"/>
                <c:pt idx="0">
                  <c:v>0.197</c:v>
                </c:pt>
                <c:pt idx="1">
                  <c:v>0.8458</c:v>
                </c:pt>
                <c:pt idx="2">
                  <c:v>0.7829</c:v>
                </c:pt>
                <c:pt idx="3">
                  <c:v>0.6382</c:v>
                </c:pt>
                <c:pt idx="4">
                  <c:v>0.4103</c:v>
                </c:pt>
                <c:pt idx="5">
                  <c:v>0.436</c:v>
                </c:pt>
                <c:pt idx="6">
                  <c:v>0.6324</c:v>
                </c:pt>
                <c:pt idx="7">
                  <c:v>0.0245</c:v>
                </c:pt>
                <c:pt idx="8">
                  <c:v>0.0002</c:v>
                </c:pt>
                <c:pt idx="9">
                  <c:v>0.1812</c:v>
                </c:pt>
              </c:numCache>
            </c:numRef>
          </c:val>
        </c:ser>
        <c:dLbls>
          <c:showLegendKey val="0"/>
          <c:showVal val="0"/>
          <c:showCatName val="0"/>
          <c:showSerName val="0"/>
          <c:showPercent val="0"/>
          <c:showBubbleSize val="0"/>
        </c:dLbls>
        <c:gapWidth val="95"/>
        <c:overlap val="100"/>
        <c:axId val="167427584"/>
        <c:axId val="168289408"/>
      </c:barChart>
      <c:catAx>
        <c:axId val="1674275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289408"/>
        <c:crosses val="autoZero"/>
        <c:auto val="1"/>
        <c:lblAlgn val="ctr"/>
        <c:lblOffset val="100"/>
        <c:noMultiLvlLbl val="0"/>
      </c:catAx>
      <c:valAx>
        <c:axId val="168289408"/>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42758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2-9 2013/2014</a:t>
            </a:r>
            <a:r>
              <a:rPr lang="zh-CN" altLang="zh-CN" sz="1100" b="1" i="0" u="none" strike="noStrike" baseline="0">
                <a:effectLst/>
                <a:latin typeface="+mn-ea"/>
                <a:ea typeface="+mn-ea"/>
              </a:rPr>
              <a:t>年度</a:t>
            </a:r>
            <a:r>
              <a:rPr lang="en-US" altLang="zh-CN" sz="1100" b="1" i="0" u="none" strike="noStrike" baseline="0">
                <a:effectLst/>
                <a:latin typeface="+mn-ea"/>
                <a:ea typeface="+mn-ea"/>
              </a:rPr>
              <a:t>-2017/2018</a:t>
            </a:r>
            <a:r>
              <a:rPr lang="zh-CN" altLang="zh-CN" sz="1100" b="1" i="0" u="none" strike="noStrike" baseline="0">
                <a:effectLst/>
                <a:latin typeface="+mn-ea"/>
                <a:ea typeface="+mn-ea"/>
              </a:rPr>
              <a:t>年度全国棉花马克隆值级变化情况图</a:t>
            </a:r>
            <a:endParaRPr lang="zh-CN" altLang="en-US" sz="1100">
              <a:latin typeface="+mn-ea"/>
              <a:ea typeface="+mn-ea"/>
            </a:endParaRPr>
          </a:p>
        </c:rich>
      </c:tx>
      <c:layout>
        <c:manualLayout>
          <c:xMode val="edge"/>
          <c:yMode val="edge"/>
          <c:x val="0.113101851851852"/>
          <c:y val="0.919174127244795"/>
        </c:manualLayout>
      </c:layout>
      <c:overlay val="1"/>
    </c:title>
    <c:autoTitleDeleted val="0"/>
    <c:plotArea>
      <c:layout>
        <c:manualLayout>
          <c:layoutTarget val="inner"/>
          <c:xMode val="edge"/>
          <c:yMode val="edge"/>
          <c:x val="0.0882773767862351"/>
          <c:y val="0.0337206368566116"/>
          <c:w val="0.886259660250802"/>
          <c:h val="0.74174017541657"/>
        </c:manualLayout>
      </c:layout>
      <c:barChart>
        <c:barDir val="col"/>
        <c:grouping val="percentStacked"/>
        <c:varyColors val="0"/>
        <c:ser>
          <c:idx val="0"/>
          <c:order val="0"/>
          <c:tx>
            <c:strRef>
              <c:f>Sheet1!$B$1</c:f>
              <c:strCache>
                <c:ptCount val="1"/>
                <c:pt idx="0">
                  <c:v>A档占比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0.00%</c:formatCode>
                <c:ptCount val="5"/>
                <c:pt idx="0">
                  <c:v>0.2997</c:v>
                </c:pt>
                <c:pt idx="1">
                  <c:v>0.3497</c:v>
                </c:pt>
                <c:pt idx="2">
                  <c:v>0.078</c:v>
                </c:pt>
                <c:pt idx="3">
                  <c:v>0.1232</c:v>
                </c:pt>
                <c:pt idx="4">
                  <c:v>0.1515</c:v>
                </c:pt>
              </c:numCache>
            </c:numRef>
          </c:val>
        </c:ser>
        <c:ser>
          <c:idx val="1"/>
          <c:order val="1"/>
          <c:tx>
            <c:strRef>
              <c:f>Sheet1!$C$1</c:f>
              <c:strCache>
                <c:ptCount val="1"/>
                <c:pt idx="0">
                  <c:v>B档占比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0.00%</c:formatCode>
                <c:ptCount val="5"/>
                <c:pt idx="0">
                  <c:v>0.4851</c:v>
                </c:pt>
                <c:pt idx="1">
                  <c:v>0.4763</c:v>
                </c:pt>
                <c:pt idx="2">
                  <c:v>0.5393</c:v>
                </c:pt>
                <c:pt idx="3">
                  <c:v>0.6711</c:v>
                </c:pt>
                <c:pt idx="4">
                  <c:v>0.6447</c:v>
                </c:pt>
              </c:numCache>
            </c:numRef>
          </c:val>
        </c:ser>
        <c:ser>
          <c:idx val="2"/>
          <c:order val="2"/>
          <c:tx>
            <c:strRef>
              <c:f>Sheet1!$D$1</c:f>
              <c:strCache>
                <c:ptCount val="1"/>
                <c:pt idx="0">
                  <c:v>C档占比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0.00%</c:formatCode>
                <c:ptCount val="5"/>
                <c:pt idx="0">
                  <c:v>0.2152</c:v>
                </c:pt>
                <c:pt idx="1">
                  <c:v>0.1739</c:v>
                </c:pt>
                <c:pt idx="2">
                  <c:v>0.3826</c:v>
                </c:pt>
                <c:pt idx="3">
                  <c:v>0.2058</c:v>
                </c:pt>
                <c:pt idx="4">
                  <c:v>0.2038</c:v>
                </c:pt>
              </c:numCache>
            </c:numRef>
          </c:val>
        </c:ser>
        <c:dLbls>
          <c:showLegendKey val="0"/>
          <c:showVal val="1"/>
          <c:showCatName val="0"/>
          <c:showSerName val="0"/>
          <c:showPercent val="0"/>
          <c:showBubbleSize val="0"/>
        </c:dLbls>
        <c:gapWidth val="150"/>
        <c:overlap val="100"/>
        <c:axId val="168710656"/>
        <c:axId val="168291136"/>
      </c:barChart>
      <c:catAx>
        <c:axId val="168710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291136"/>
        <c:crosses val="autoZero"/>
        <c:auto val="1"/>
        <c:lblAlgn val="ctr"/>
        <c:lblOffset val="100"/>
        <c:noMultiLvlLbl val="0"/>
      </c:catAx>
      <c:valAx>
        <c:axId val="16829113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10656"/>
        <c:crosses val="autoZero"/>
        <c:crossBetween val="between"/>
      </c:valAx>
    </c:plotArea>
    <c:legend>
      <c:legendPos val="b"/>
      <c:layout>
        <c:manualLayout>
          <c:xMode val="edge"/>
          <c:yMode val="edge"/>
          <c:x val="0.315497411781861"/>
          <c:y val="0.853962297992933"/>
          <c:w val="0.387523512685914"/>
          <c:h val="0.05492152888633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2-10 2017/2018</a:t>
            </a:r>
            <a:r>
              <a:rPr lang="zh-CN" altLang="zh-CN" sz="1100" b="1" i="0" u="none" strike="noStrike" baseline="0">
                <a:effectLst/>
                <a:latin typeface="+mn-ea"/>
                <a:ea typeface="+mn-ea"/>
              </a:rPr>
              <a:t>年度各产棉省份平均断裂比强度占比分布图</a:t>
            </a:r>
            <a:endParaRPr lang="zh-CN" altLang="en-US" sz="1100">
              <a:latin typeface="+mn-ea"/>
              <a:ea typeface="+mn-ea"/>
            </a:endParaRPr>
          </a:p>
        </c:rich>
      </c:tx>
      <c:layout>
        <c:manualLayout>
          <c:xMode val="edge"/>
          <c:yMode val="edge"/>
          <c:x val="0.20788736934199"/>
          <c:y val="0.920611019067302"/>
        </c:manualLayout>
      </c:layout>
      <c:overlay val="0"/>
    </c:title>
    <c:autoTitleDeleted val="0"/>
    <c:plotArea>
      <c:layout>
        <c:manualLayout>
          <c:layoutTarget val="inner"/>
          <c:xMode val="edge"/>
          <c:yMode val="edge"/>
          <c:x val="0.166057466500897"/>
          <c:y val="0.0225305025591975"/>
          <c:w val="0.727984106153397"/>
          <c:h val="0.537778584128597"/>
        </c:manualLayout>
      </c:layout>
      <c:barChart>
        <c:barDir val="col"/>
        <c:grouping val="percentStacked"/>
        <c:varyColors val="0"/>
        <c:ser>
          <c:idx val="0"/>
          <c:order val="0"/>
          <c:tx>
            <c:strRef>
              <c:f>Sheet1!$A$2</c:f>
              <c:strCache>
                <c:ptCount val="1"/>
                <c:pt idx="0">
                  <c:v>很差占比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Sheet1!$B$2:$K$2</c:f>
              <c:numCache>
                <c:formatCode>0.00%</c:formatCode>
                <c:ptCount val="10"/>
                <c:pt idx="0">
                  <c:v>0.0038</c:v>
                </c:pt>
                <c:pt idx="1">
                  <c:v>0.0069</c:v>
                </c:pt>
                <c:pt idx="2">
                  <c:v>0.0012</c:v>
                </c:pt>
                <c:pt idx="3">
                  <c:v>0.0005</c:v>
                </c:pt>
                <c:pt idx="4">
                  <c:v>0.0004</c:v>
                </c:pt>
                <c:pt idx="5">
                  <c:v>0.0004</c:v>
                </c:pt>
                <c:pt idx="6">
                  <c:v>0.0011</c:v>
                </c:pt>
                <c:pt idx="7">
                  <c:v>0</c:v>
                </c:pt>
                <c:pt idx="8">
                  <c:v>0</c:v>
                </c:pt>
                <c:pt idx="9">
                  <c:v>0.0039</c:v>
                </c:pt>
              </c:numCache>
            </c:numRef>
          </c:val>
        </c:ser>
        <c:ser>
          <c:idx val="1"/>
          <c:order val="1"/>
          <c:tx>
            <c:strRef>
              <c:f>Sheet1!$A$3</c:f>
              <c:strCache>
                <c:ptCount val="1"/>
                <c:pt idx="0">
                  <c:v>差占比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Sheet1!$B$3:$K$3</c:f>
              <c:numCache>
                <c:formatCode>0.00%</c:formatCode>
                <c:ptCount val="10"/>
                <c:pt idx="0">
                  <c:v>0.0933</c:v>
                </c:pt>
                <c:pt idx="1">
                  <c:v>0.0026</c:v>
                </c:pt>
                <c:pt idx="2">
                  <c:v>0.0298</c:v>
                </c:pt>
                <c:pt idx="3">
                  <c:v>0.009</c:v>
                </c:pt>
                <c:pt idx="4">
                  <c:v>0.0332</c:v>
                </c:pt>
                <c:pt idx="5">
                  <c:v>0.0064</c:v>
                </c:pt>
                <c:pt idx="6">
                  <c:v>0.0261</c:v>
                </c:pt>
                <c:pt idx="7">
                  <c:v>0.0026</c:v>
                </c:pt>
                <c:pt idx="8">
                  <c:v>0.0012</c:v>
                </c:pt>
                <c:pt idx="9">
                  <c:v>0.0981</c:v>
                </c:pt>
              </c:numCache>
            </c:numRef>
          </c:val>
        </c:ser>
        <c:ser>
          <c:idx val="2"/>
          <c:order val="2"/>
          <c:tx>
            <c:strRef>
              <c:f>Sheet1!$A$4</c:f>
              <c:strCache>
                <c:ptCount val="1"/>
                <c:pt idx="0">
                  <c:v>中等占比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Sheet1!$B$4:$K$4</c:f>
              <c:numCache>
                <c:formatCode>0.00%</c:formatCode>
                <c:ptCount val="10"/>
                <c:pt idx="0">
                  <c:v>0.6206</c:v>
                </c:pt>
                <c:pt idx="1">
                  <c:v>0.4566</c:v>
                </c:pt>
                <c:pt idx="2">
                  <c:v>0.4896</c:v>
                </c:pt>
                <c:pt idx="3">
                  <c:v>0.4229</c:v>
                </c:pt>
                <c:pt idx="4">
                  <c:v>0.7157</c:v>
                </c:pt>
                <c:pt idx="5">
                  <c:v>0.3902</c:v>
                </c:pt>
                <c:pt idx="6">
                  <c:v>0.676</c:v>
                </c:pt>
                <c:pt idx="7">
                  <c:v>0.5822</c:v>
                </c:pt>
                <c:pt idx="8">
                  <c:v>0.2551</c:v>
                </c:pt>
                <c:pt idx="9">
                  <c:v>0.6331</c:v>
                </c:pt>
              </c:numCache>
            </c:numRef>
          </c:val>
        </c:ser>
        <c:ser>
          <c:idx val="3"/>
          <c:order val="3"/>
          <c:tx>
            <c:strRef>
              <c:f>Sheet1!$A$5</c:f>
              <c:strCache>
                <c:ptCount val="1"/>
                <c:pt idx="0">
                  <c:v>强占比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Sheet1!$B$5:$K$5</c:f>
              <c:numCache>
                <c:formatCode>0.00%</c:formatCode>
                <c:ptCount val="10"/>
                <c:pt idx="0">
                  <c:v>0.2355</c:v>
                </c:pt>
                <c:pt idx="1">
                  <c:v>0.4798</c:v>
                </c:pt>
                <c:pt idx="2">
                  <c:v>0.409</c:v>
                </c:pt>
                <c:pt idx="3">
                  <c:v>0.4789</c:v>
                </c:pt>
                <c:pt idx="4">
                  <c:v>0.2396</c:v>
                </c:pt>
                <c:pt idx="5">
                  <c:v>0.5018</c:v>
                </c:pt>
                <c:pt idx="6">
                  <c:v>0.2724</c:v>
                </c:pt>
                <c:pt idx="7">
                  <c:v>0.3741</c:v>
                </c:pt>
                <c:pt idx="8">
                  <c:v>0.5841</c:v>
                </c:pt>
                <c:pt idx="9">
                  <c:v>0.221</c:v>
                </c:pt>
              </c:numCache>
            </c:numRef>
          </c:val>
        </c:ser>
        <c:ser>
          <c:idx val="4"/>
          <c:order val="4"/>
          <c:tx>
            <c:strRef>
              <c:f>Sheet1!$A$6</c:f>
              <c:strCache>
                <c:ptCount val="1"/>
                <c:pt idx="0">
                  <c:v>很强占比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Sheet1!$B$6:$K$6</c:f>
              <c:numCache>
                <c:formatCode>0.00%</c:formatCode>
                <c:ptCount val="10"/>
                <c:pt idx="0">
                  <c:v>0.0468</c:v>
                </c:pt>
                <c:pt idx="1">
                  <c:v>0.054</c:v>
                </c:pt>
                <c:pt idx="2">
                  <c:v>0.0704</c:v>
                </c:pt>
                <c:pt idx="3">
                  <c:v>0.0887</c:v>
                </c:pt>
                <c:pt idx="4">
                  <c:v>0.0111</c:v>
                </c:pt>
                <c:pt idx="5">
                  <c:v>0.1012</c:v>
                </c:pt>
                <c:pt idx="6">
                  <c:v>0.0243</c:v>
                </c:pt>
                <c:pt idx="7">
                  <c:v>0.0411</c:v>
                </c:pt>
                <c:pt idx="8">
                  <c:v>0.1595</c:v>
                </c:pt>
                <c:pt idx="9">
                  <c:v>0.0438</c:v>
                </c:pt>
              </c:numCache>
            </c:numRef>
          </c:val>
        </c:ser>
        <c:dLbls>
          <c:showLegendKey val="0"/>
          <c:showVal val="0"/>
          <c:showCatName val="0"/>
          <c:showSerName val="0"/>
          <c:showPercent val="0"/>
          <c:showBubbleSize val="0"/>
        </c:dLbls>
        <c:gapWidth val="95"/>
        <c:overlap val="100"/>
        <c:axId val="167835648"/>
        <c:axId val="168292864"/>
      </c:barChart>
      <c:lineChart>
        <c:grouping val="standard"/>
        <c:varyColors val="0"/>
        <c:ser>
          <c:idx val="5"/>
          <c:order val="5"/>
          <c:tx>
            <c:strRef>
              <c:f>Sheet1!$A$7</c:f>
              <c:strCache>
                <c:ptCount val="1"/>
                <c:pt idx="0">
                  <c:v>平均断裂
比强度值</c:v>
                </c:pt>
              </c:strCache>
            </c:strRef>
          </c:tx>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Sheet1!$B$7:$K$7</c:f>
              <c:numCache>
                <c:formatCode>@</c:formatCode>
                <c:ptCount val="10"/>
                <c:pt idx="0">
                  <c:v>28.03</c:v>
                </c:pt>
                <c:pt idx="1">
                  <c:v>29.02</c:v>
                </c:pt>
                <c:pt idx="2" c:formatCode="General">
                  <c:v>28.82</c:v>
                </c:pt>
                <c:pt idx="3" c:formatCode="General">
                  <c:v>29.17</c:v>
                </c:pt>
                <c:pt idx="4">
                  <c:v>28.15</c:v>
                </c:pt>
                <c:pt idx="5" c:formatCode="General">
                  <c:v>29.29</c:v>
                </c:pt>
                <c:pt idx="6">
                  <c:v>28.31</c:v>
                </c:pt>
                <c:pt idx="7">
                  <c:v>28.79</c:v>
                </c:pt>
                <c:pt idx="8">
                  <c:v>29.74</c:v>
                </c:pt>
                <c:pt idx="9">
                  <c:v>27.96</c:v>
                </c:pt>
              </c:numCache>
            </c:numRef>
          </c:val>
          <c:smooth val="0"/>
        </c:ser>
        <c:dLbls>
          <c:showLegendKey val="0"/>
          <c:showVal val="0"/>
          <c:showCatName val="0"/>
          <c:showSerName val="0"/>
          <c:showPercent val="0"/>
          <c:showBubbleSize val="0"/>
        </c:dLbls>
        <c:marker val="1"/>
        <c:smooth val="0"/>
        <c:axId val="167836160"/>
        <c:axId val="168293440"/>
      </c:lineChart>
      <c:catAx>
        <c:axId val="1678356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292864"/>
        <c:crosses val="autoZero"/>
        <c:auto val="1"/>
        <c:lblAlgn val="ctr"/>
        <c:lblOffset val="100"/>
        <c:noMultiLvlLbl val="0"/>
      </c:catAx>
      <c:valAx>
        <c:axId val="168292864"/>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cN/tex</a:t>
                </a:r>
                <a:endParaRPr lang="zh-CN" altLang="en-US"/>
              </a:p>
            </c:rich>
          </c:tx>
          <c:layout>
            <c:manualLayout>
              <c:xMode val="edge"/>
              <c:yMode val="edge"/>
              <c:x val="0.954779051741339"/>
              <c:y val="0.220877357792315"/>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835648"/>
        <c:crosses val="autoZero"/>
        <c:crossBetween val="between"/>
      </c:valAx>
      <c:catAx>
        <c:axId val="167836160"/>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293440"/>
        <c:crosses val="autoZero"/>
        <c:auto val="1"/>
        <c:lblAlgn val="ctr"/>
        <c:lblOffset val="100"/>
        <c:noMultiLvlLbl val="0"/>
      </c:catAx>
      <c:valAx>
        <c:axId val="168293440"/>
        <c:scaling>
          <c:orientation val="minMax"/>
        </c:scaling>
        <c:delete val="0"/>
        <c:axPos val="r"/>
        <c:numFmt formatCode="@"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836160"/>
        <c:crosses val="max"/>
        <c:crossBetween val="between"/>
      </c:valAx>
      <c:dTable>
        <c:showHorzBorder val="1"/>
        <c:showVertBorder val="1"/>
        <c:showOutline val="1"/>
        <c:showKeys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a:latin typeface="+mn-ea"/>
                <a:ea typeface="+mn-ea"/>
              </a:rPr>
              <a:t>图</a:t>
            </a:r>
            <a:r>
              <a:rPr lang="en-US" altLang="zh-CN" sz="1100">
                <a:latin typeface="+mn-ea"/>
                <a:ea typeface="+mn-ea"/>
              </a:rPr>
              <a:t>2-11 2015/2016</a:t>
            </a:r>
            <a:r>
              <a:rPr lang="zh-CN" altLang="en-US" sz="1100">
                <a:latin typeface="+mn-ea"/>
                <a:ea typeface="+mn-ea"/>
              </a:rPr>
              <a:t>年度</a:t>
            </a:r>
            <a:r>
              <a:rPr lang="en-US" altLang="zh-CN" sz="1100">
                <a:latin typeface="+mn-ea"/>
                <a:ea typeface="+mn-ea"/>
              </a:rPr>
              <a:t>-2017/2018</a:t>
            </a:r>
            <a:r>
              <a:rPr lang="zh-CN" altLang="en-US" sz="1100">
                <a:latin typeface="+mn-ea"/>
                <a:ea typeface="+mn-ea"/>
              </a:rPr>
              <a:t>年度各产棉省份</a:t>
            </a:r>
            <a:endParaRPr lang="zh-CN" altLang="en-US" sz="1100">
              <a:latin typeface="+mn-ea"/>
              <a:ea typeface="+mn-ea"/>
            </a:endParaRPr>
          </a:p>
          <a:p>
            <a:pPr>
              <a:defRPr lang="zh-CN" sz="1800" b="1" i="0" u="none" strike="noStrike" kern="1200" baseline="0">
                <a:solidFill>
                  <a:schemeClr val="tx1"/>
                </a:solidFill>
                <a:latin typeface="+mn-lt"/>
                <a:ea typeface="+mn-ea"/>
                <a:cs typeface="+mn-cs"/>
              </a:defRPr>
            </a:pPr>
            <a:r>
              <a:rPr lang="zh-CN" altLang="en-US" sz="1100">
                <a:latin typeface="+mn-ea"/>
                <a:ea typeface="+mn-ea"/>
              </a:rPr>
              <a:t>棉花平均断裂比强度变化情况图</a:t>
            </a:r>
            <a:endParaRPr lang="zh-CN" altLang="en-US" sz="1100">
              <a:latin typeface="+mn-ea"/>
              <a:ea typeface="+mn-ea"/>
            </a:endParaRPr>
          </a:p>
        </c:rich>
      </c:tx>
      <c:layout>
        <c:manualLayout>
          <c:xMode val="edge"/>
          <c:yMode val="edge"/>
          <c:x val="0.199907407407407"/>
          <c:y val="0.921882951653944"/>
        </c:manualLayout>
      </c:layout>
      <c:overlay val="0"/>
    </c:title>
    <c:autoTitleDeleted val="0"/>
    <c:plotArea>
      <c:layout>
        <c:manualLayout>
          <c:layoutTarget val="inner"/>
          <c:xMode val="edge"/>
          <c:yMode val="edge"/>
          <c:x val="0.213888888888889"/>
          <c:y val="0.0153944020356234"/>
          <c:w val="0.738541666666667"/>
          <c:h val="0.627608142493639"/>
        </c:manualLayout>
      </c:layout>
      <c:barChart>
        <c:barDir val="bar"/>
        <c:grouping val="clustered"/>
        <c:varyColors val="0"/>
        <c:ser>
          <c:idx val="0"/>
          <c:order val="0"/>
          <c:tx>
            <c:strRef>
              <c:f>Sheet1!$B$1</c:f>
              <c:strCache>
                <c:ptCount val="1"/>
                <c:pt idx="0">
                  <c:v>2015/2016年度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0.00_ </c:formatCode>
                <c:ptCount val="10"/>
                <c:pt idx="0">
                  <c:v>28.23</c:v>
                </c:pt>
                <c:pt idx="1">
                  <c:v>28.01</c:v>
                </c:pt>
                <c:pt idx="2">
                  <c:v>28.62</c:v>
                </c:pt>
                <c:pt idx="3">
                  <c:v>29.05</c:v>
                </c:pt>
                <c:pt idx="4">
                  <c:v>29.48</c:v>
                </c:pt>
                <c:pt idx="5">
                  <c:v>29.21</c:v>
                </c:pt>
                <c:pt idx="6">
                  <c:v>29.49</c:v>
                </c:pt>
                <c:pt idx="7">
                  <c:v>29.77</c:v>
                </c:pt>
                <c:pt idx="8">
                  <c:v>29.03</c:v>
                </c:pt>
                <c:pt idx="9">
                  <c:v>28.15</c:v>
                </c:pt>
              </c:numCache>
            </c:numRef>
          </c:val>
        </c:ser>
        <c:ser>
          <c:idx val="1"/>
          <c:order val="1"/>
          <c:tx>
            <c:strRef>
              <c:f>Sheet1!$C$1</c:f>
              <c:strCache>
                <c:ptCount val="1"/>
                <c:pt idx="0">
                  <c:v>2016/2017年度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0.00_ </c:formatCode>
                <c:ptCount val="10"/>
                <c:pt idx="0">
                  <c:v>27.94</c:v>
                </c:pt>
                <c:pt idx="1">
                  <c:v>29.8</c:v>
                </c:pt>
                <c:pt idx="2">
                  <c:v>29.65</c:v>
                </c:pt>
                <c:pt idx="3">
                  <c:v>28.76</c:v>
                </c:pt>
                <c:pt idx="4">
                  <c:v>29.33</c:v>
                </c:pt>
                <c:pt idx="5">
                  <c:v>30.37</c:v>
                </c:pt>
                <c:pt idx="6">
                  <c:v>29.99</c:v>
                </c:pt>
                <c:pt idx="7">
                  <c:v>30.83</c:v>
                </c:pt>
                <c:pt idx="8">
                  <c:v>29.38</c:v>
                </c:pt>
                <c:pt idx="9">
                  <c:v>27.83</c:v>
                </c:pt>
              </c:numCache>
            </c:numRef>
          </c:val>
        </c:ser>
        <c:ser>
          <c:idx val="2"/>
          <c:order val="2"/>
          <c:tx>
            <c:strRef>
              <c:f>Sheet1!$D$1</c:f>
              <c:strCache>
                <c:ptCount val="1"/>
                <c:pt idx="0">
                  <c:v>2017/2018年度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General</c:formatCode>
                <c:ptCount val="10"/>
                <c:pt idx="0">
                  <c:v>28.03</c:v>
                </c:pt>
                <c:pt idx="1">
                  <c:v>29.02</c:v>
                </c:pt>
                <c:pt idx="2">
                  <c:v>28.82</c:v>
                </c:pt>
                <c:pt idx="3">
                  <c:v>29.17</c:v>
                </c:pt>
                <c:pt idx="4">
                  <c:v>28.15</c:v>
                </c:pt>
                <c:pt idx="5">
                  <c:v>29.29</c:v>
                </c:pt>
                <c:pt idx="6">
                  <c:v>28.31</c:v>
                </c:pt>
                <c:pt idx="7">
                  <c:v>28.79</c:v>
                </c:pt>
                <c:pt idx="8">
                  <c:v>29.74</c:v>
                </c:pt>
                <c:pt idx="9">
                  <c:v>27.96</c:v>
                </c:pt>
              </c:numCache>
            </c:numRef>
          </c:val>
        </c:ser>
        <c:dLbls>
          <c:showLegendKey val="0"/>
          <c:showVal val="0"/>
          <c:showCatName val="0"/>
          <c:showSerName val="0"/>
          <c:showPercent val="0"/>
          <c:showBubbleSize val="0"/>
        </c:dLbls>
        <c:gapWidth val="150"/>
        <c:axId val="168143360"/>
        <c:axId val="168295744"/>
      </c:barChart>
      <c:catAx>
        <c:axId val="168143360"/>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295744"/>
        <c:crosses val="autoZero"/>
        <c:auto val="1"/>
        <c:lblAlgn val="ctr"/>
        <c:lblOffset val="100"/>
        <c:noMultiLvlLbl val="0"/>
      </c:catAx>
      <c:valAx>
        <c:axId val="168295744"/>
        <c:scaling>
          <c:orientation val="minMax"/>
          <c:max val="31"/>
        </c:scaling>
        <c:delete val="0"/>
        <c:axPos val="b"/>
        <c:majorGridlines/>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14336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2-12 2013/2014</a:t>
            </a:r>
            <a:r>
              <a:rPr lang="zh-CN" altLang="zh-CN" sz="1100" b="1" i="0" u="none" strike="noStrike" baseline="0">
                <a:effectLst/>
                <a:latin typeface="+mn-ea"/>
                <a:ea typeface="+mn-ea"/>
              </a:rPr>
              <a:t>年度</a:t>
            </a:r>
            <a:r>
              <a:rPr lang="en-US" altLang="zh-CN" sz="1100" b="1" i="0" u="none" strike="noStrike" baseline="0">
                <a:effectLst/>
                <a:latin typeface="+mn-ea"/>
                <a:ea typeface="+mn-ea"/>
              </a:rPr>
              <a:t>-2017/2018</a:t>
            </a:r>
            <a:r>
              <a:rPr lang="zh-CN" altLang="zh-CN" sz="1100" b="1" i="0" u="none" strike="noStrike" baseline="0">
                <a:effectLst/>
                <a:latin typeface="+mn-ea"/>
                <a:ea typeface="+mn-ea"/>
              </a:rPr>
              <a:t>年度全国棉花断裂比强度变化情况图</a:t>
            </a:r>
            <a:endParaRPr lang="zh-CN" altLang="en-US" sz="1100">
              <a:latin typeface="+mn-ea"/>
              <a:ea typeface="+mn-ea"/>
            </a:endParaRPr>
          </a:p>
        </c:rich>
      </c:tx>
      <c:layout>
        <c:manualLayout>
          <c:xMode val="edge"/>
          <c:yMode val="edge"/>
          <c:x val="0.112579520524759"/>
          <c:y val="0.934592070728001"/>
        </c:manualLayout>
      </c:layout>
      <c:overlay val="0"/>
    </c:title>
    <c:autoTitleDeleted val="0"/>
    <c:plotArea>
      <c:layout>
        <c:manualLayout>
          <c:layoutTarget val="inner"/>
          <c:xMode val="edge"/>
          <c:yMode val="edge"/>
          <c:x val="0.187586823003908"/>
          <c:y val="0.0161310649023314"/>
          <c:w val="0.710682300390843"/>
          <c:h val="0.641021920041565"/>
        </c:manualLayout>
      </c:layout>
      <c:barChart>
        <c:barDir val="col"/>
        <c:grouping val="percentStacked"/>
        <c:varyColors val="0"/>
        <c:ser>
          <c:idx val="1"/>
          <c:order val="1"/>
          <c:tx>
            <c:strRef>
              <c:f>Sheet1!$C$1</c:f>
              <c:strCache>
                <c:ptCount val="1"/>
                <c:pt idx="0">
                  <c:v>差及以下</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0.00%</c:formatCode>
                <c:ptCount val="5"/>
                <c:pt idx="0">
                  <c:v>0.1294</c:v>
                </c:pt>
                <c:pt idx="1">
                  <c:v>0.083</c:v>
                </c:pt>
                <c:pt idx="2">
                  <c:v>0.0556</c:v>
                </c:pt>
                <c:pt idx="3">
                  <c:v>0.1094</c:v>
                </c:pt>
                <c:pt idx="4">
                  <c:v>0.0971</c:v>
                </c:pt>
              </c:numCache>
            </c:numRef>
          </c:val>
        </c:ser>
        <c:ser>
          <c:idx val="2"/>
          <c:order val="2"/>
          <c:tx>
            <c:strRef>
              <c:f>Sheet1!$D$1</c:f>
              <c:strCache>
                <c:ptCount val="1"/>
                <c:pt idx="0">
                  <c:v>中等</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0.00%</c:formatCode>
                <c:ptCount val="5"/>
                <c:pt idx="0">
                  <c:v>0.5758</c:v>
                </c:pt>
                <c:pt idx="1">
                  <c:v>0.6487</c:v>
                </c:pt>
                <c:pt idx="2">
                  <c:v>0.637</c:v>
                </c:pt>
                <c:pt idx="3">
                  <c:v>0.6266</c:v>
                </c:pt>
                <c:pt idx="4">
                  <c:v>0.6206</c:v>
                </c:pt>
              </c:numCache>
            </c:numRef>
          </c:val>
        </c:ser>
        <c:ser>
          <c:idx val="3"/>
          <c:order val="3"/>
          <c:tx>
            <c:strRef>
              <c:f>Sheet1!$E$1</c:f>
              <c:strCache>
                <c:ptCount val="1"/>
                <c:pt idx="0">
                  <c:v>强及以上</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Sheet1!$E$2:$E$6</c:f>
              <c:numCache>
                <c:formatCode>0.00%</c:formatCode>
                <c:ptCount val="5"/>
                <c:pt idx="0">
                  <c:v>0.2948</c:v>
                </c:pt>
                <c:pt idx="1">
                  <c:v>0.2683</c:v>
                </c:pt>
                <c:pt idx="2">
                  <c:v>0.3074</c:v>
                </c:pt>
                <c:pt idx="3">
                  <c:v>0.264</c:v>
                </c:pt>
                <c:pt idx="4">
                  <c:v>0.2823</c:v>
                </c:pt>
              </c:numCache>
            </c:numRef>
          </c:val>
        </c:ser>
        <c:dLbls>
          <c:showLegendKey val="0"/>
          <c:showVal val="0"/>
          <c:showCatName val="0"/>
          <c:showSerName val="0"/>
          <c:showPercent val="0"/>
          <c:showBubbleSize val="0"/>
        </c:dLbls>
        <c:gapWidth val="150"/>
        <c:axId val="167833600"/>
        <c:axId val="168510016"/>
      </c:barChart>
      <c:lineChart>
        <c:grouping val="standard"/>
        <c:varyColors val="0"/>
        <c:ser>
          <c:idx val="0"/>
          <c:order val="0"/>
          <c:tx>
            <c:strRef>
              <c:f>Sheet1!$B$1</c:f>
              <c:strCache>
                <c:ptCount val="1"/>
                <c:pt idx="0">
                  <c:v>平均断裂
比强度值</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General</c:formatCode>
                <c:ptCount val="5"/>
                <c:pt idx="0">
                  <c:v>27.99</c:v>
                </c:pt>
                <c:pt idx="1">
                  <c:v>28.04</c:v>
                </c:pt>
                <c:pt idx="2">
                  <c:v>28.23</c:v>
                </c:pt>
                <c:pt idx="3">
                  <c:v>27.94</c:v>
                </c:pt>
                <c:pt idx="4">
                  <c:v>28.03</c:v>
                </c:pt>
              </c:numCache>
            </c:numRef>
          </c:val>
          <c:smooth val="0"/>
        </c:ser>
        <c:dLbls>
          <c:showLegendKey val="0"/>
          <c:showVal val="0"/>
          <c:showCatName val="0"/>
          <c:showSerName val="0"/>
          <c:showPercent val="0"/>
          <c:showBubbleSize val="0"/>
        </c:dLbls>
        <c:marker val="1"/>
        <c:smooth val="0"/>
        <c:axId val="167834624"/>
        <c:axId val="168510592"/>
      </c:lineChart>
      <c:catAx>
        <c:axId val="1678336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510016"/>
        <c:crosses val="autoZero"/>
        <c:auto val="1"/>
        <c:lblAlgn val="ctr"/>
        <c:lblOffset val="100"/>
        <c:noMultiLvlLbl val="0"/>
      </c:catAx>
      <c:valAx>
        <c:axId val="168510016"/>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833600"/>
        <c:crosses val="autoZero"/>
        <c:crossBetween val="between"/>
      </c:valAx>
      <c:catAx>
        <c:axId val="1678346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510592"/>
        <c:crosses val="autoZero"/>
        <c:auto val="1"/>
        <c:lblAlgn val="ctr"/>
        <c:lblOffset val="100"/>
        <c:noMultiLvlLbl val="0"/>
      </c:catAx>
      <c:valAx>
        <c:axId val="168510592"/>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cN/tex</a:t>
                </a:r>
                <a:endParaRPr lang="zh-CN" altLang="en-US"/>
              </a:p>
            </c:rich>
          </c:tx>
          <c:layout>
            <c:manualLayout>
              <c:xMode val="edge"/>
              <c:yMode val="edge"/>
              <c:x val="0.950865438302624"/>
              <c:y val="0.32009407141687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834624"/>
        <c:crosses val="max"/>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2-13 2017/2018</a:t>
            </a:r>
            <a:r>
              <a:rPr lang="zh-CN" altLang="zh-CN" sz="1100" b="1" i="0" u="none" strike="noStrike" baseline="0">
                <a:effectLst/>
                <a:latin typeface="+mn-ea"/>
                <a:ea typeface="+mn-ea"/>
              </a:rPr>
              <a:t>年度各产棉省份平均长度整齐度指数占比分布图</a:t>
            </a:r>
            <a:endParaRPr lang="zh-CN" altLang="en-US" sz="1100">
              <a:latin typeface="+mn-ea"/>
              <a:ea typeface="+mn-ea"/>
            </a:endParaRPr>
          </a:p>
        </c:rich>
      </c:tx>
      <c:layout>
        <c:manualLayout>
          <c:xMode val="edge"/>
          <c:yMode val="edge"/>
          <c:x val="0.167374487820252"/>
          <c:y val="0.948910142950948"/>
        </c:manualLayout>
      </c:layout>
      <c:overlay val="0"/>
    </c:title>
    <c:autoTitleDeleted val="0"/>
    <c:plotArea>
      <c:layout>
        <c:manualLayout>
          <c:layoutTarget val="inner"/>
          <c:xMode val="edge"/>
          <c:yMode val="edge"/>
          <c:x val="0.156490505050505"/>
          <c:y val="0.0143473844591163"/>
          <c:w val="0.745428686868687"/>
          <c:h val="0.649390553580498"/>
        </c:manualLayout>
      </c:layout>
      <c:barChart>
        <c:barDir val="col"/>
        <c:grouping val="percentStacked"/>
        <c:varyColors val="0"/>
        <c:ser>
          <c:idx val="0"/>
          <c:order val="0"/>
          <c:tx>
            <c:strRef>
              <c:f>Sheet1!$A$2</c:f>
              <c:strCache>
                <c:ptCount val="1"/>
                <c:pt idx="0">
                  <c:v>很低占比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Sheet1!$B$2:$K$2</c:f>
              <c:numCache>
                <c:formatCode>0.00%</c:formatCode>
                <c:ptCount val="10"/>
                <c:pt idx="0">
                  <c:v>0.0002</c:v>
                </c:pt>
                <c:pt idx="1">
                  <c:v>0</c:v>
                </c:pt>
                <c:pt idx="2">
                  <c:v>0.0007</c:v>
                </c:pt>
                <c:pt idx="3">
                  <c:v>0.0001</c:v>
                </c:pt>
                <c:pt idx="4">
                  <c:v>0</c:v>
                </c:pt>
                <c:pt idx="5">
                  <c:v>0.0002</c:v>
                </c:pt>
                <c:pt idx="6">
                  <c:v>0.0008</c:v>
                </c:pt>
                <c:pt idx="7">
                  <c:v>0</c:v>
                </c:pt>
                <c:pt idx="8">
                  <c:v>0</c:v>
                </c:pt>
                <c:pt idx="9">
                  <c:v>0.0001</c:v>
                </c:pt>
              </c:numCache>
            </c:numRef>
          </c:val>
        </c:ser>
        <c:ser>
          <c:idx val="1"/>
          <c:order val="1"/>
          <c:tx>
            <c:strRef>
              <c:f>Sheet1!$A$3</c:f>
              <c:strCache>
                <c:ptCount val="1"/>
                <c:pt idx="0">
                  <c:v>低占比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Sheet1!$B$3:$K$3</c:f>
              <c:numCache>
                <c:formatCode>0.00%</c:formatCode>
                <c:ptCount val="10"/>
                <c:pt idx="0">
                  <c:v>0.0141</c:v>
                </c:pt>
                <c:pt idx="1">
                  <c:v>0.0071</c:v>
                </c:pt>
                <c:pt idx="2">
                  <c:v>0.0326</c:v>
                </c:pt>
                <c:pt idx="3">
                  <c:v>0.0368</c:v>
                </c:pt>
                <c:pt idx="4">
                  <c:v>0.0587</c:v>
                </c:pt>
                <c:pt idx="5">
                  <c:v>0.0292</c:v>
                </c:pt>
                <c:pt idx="6">
                  <c:v>0.2247</c:v>
                </c:pt>
                <c:pt idx="7">
                  <c:v>0.1066</c:v>
                </c:pt>
                <c:pt idx="8">
                  <c:v>0.0022</c:v>
                </c:pt>
                <c:pt idx="9">
                  <c:v>0.013</c:v>
                </c:pt>
              </c:numCache>
            </c:numRef>
          </c:val>
        </c:ser>
        <c:ser>
          <c:idx val="2"/>
          <c:order val="2"/>
          <c:tx>
            <c:strRef>
              <c:f>Sheet1!$A$4</c:f>
              <c:strCache>
                <c:ptCount val="1"/>
                <c:pt idx="0">
                  <c:v>中等占比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Sheet1!$B$4:$K$4</c:f>
              <c:numCache>
                <c:formatCode>0.00%</c:formatCode>
                <c:ptCount val="10"/>
                <c:pt idx="0">
                  <c:v>0.6479</c:v>
                </c:pt>
                <c:pt idx="1">
                  <c:v>0.6158</c:v>
                </c:pt>
                <c:pt idx="2">
                  <c:v>0.7675</c:v>
                </c:pt>
                <c:pt idx="3">
                  <c:v>0.7071</c:v>
                </c:pt>
                <c:pt idx="4">
                  <c:v>0.8543</c:v>
                </c:pt>
                <c:pt idx="5">
                  <c:v>0.7345</c:v>
                </c:pt>
                <c:pt idx="6">
                  <c:v>0.7452</c:v>
                </c:pt>
                <c:pt idx="7">
                  <c:v>0.8767</c:v>
                </c:pt>
                <c:pt idx="8">
                  <c:v>0.3973</c:v>
                </c:pt>
                <c:pt idx="9">
                  <c:v>0.6451</c:v>
                </c:pt>
              </c:numCache>
            </c:numRef>
          </c:val>
        </c:ser>
        <c:ser>
          <c:idx val="3"/>
          <c:order val="3"/>
          <c:tx>
            <c:strRef>
              <c:f>Sheet1!$A$5</c:f>
              <c:strCache>
                <c:ptCount val="1"/>
                <c:pt idx="0">
                  <c:v>高占比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Sheet1!$B$5:$K$5</c:f>
              <c:numCache>
                <c:formatCode>0.00%</c:formatCode>
                <c:ptCount val="10"/>
                <c:pt idx="0">
                  <c:v>0.3375</c:v>
                </c:pt>
                <c:pt idx="1">
                  <c:v>0.3729</c:v>
                </c:pt>
                <c:pt idx="2">
                  <c:v>0.1991</c:v>
                </c:pt>
                <c:pt idx="3">
                  <c:v>0.2548</c:v>
                </c:pt>
                <c:pt idx="4">
                  <c:v>0.087</c:v>
                </c:pt>
                <c:pt idx="5">
                  <c:v>0.2361</c:v>
                </c:pt>
                <c:pt idx="6">
                  <c:v>0.0293</c:v>
                </c:pt>
                <c:pt idx="7">
                  <c:v>0.0166</c:v>
                </c:pt>
                <c:pt idx="8">
                  <c:v>0.5998</c:v>
                </c:pt>
                <c:pt idx="9">
                  <c:v>0.3414</c:v>
                </c:pt>
              </c:numCache>
            </c:numRef>
          </c:val>
        </c:ser>
        <c:ser>
          <c:idx val="4"/>
          <c:order val="4"/>
          <c:tx>
            <c:strRef>
              <c:f>Sheet1!$A$6</c:f>
              <c:strCache>
                <c:ptCount val="1"/>
                <c:pt idx="0">
                  <c:v>很高占比</c:v>
                </c:pt>
              </c:strCache>
            </c:strRef>
          </c:tx>
          <c:invertIfNegative val="0"/>
          <c:dLbls>
            <c:delete val="1"/>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Sheet1!$B$6:$K$6</c:f>
              <c:numCache>
                <c:formatCode>0.00%</c:formatCode>
                <c:ptCount val="10"/>
                <c:pt idx="0">
                  <c:v>0.0003</c:v>
                </c:pt>
                <c:pt idx="1">
                  <c:v>0.0042</c:v>
                </c:pt>
                <c:pt idx="2">
                  <c:v>0.0002</c:v>
                </c:pt>
                <c:pt idx="3">
                  <c:v>0.0012</c:v>
                </c:pt>
                <c:pt idx="4">
                  <c:v>0</c:v>
                </c:pt>
                <c:pt idx="5">
                  <c:v>0</c:v>
                </c:pt>
                <c:pt idx="6">
                  <c:v>0</c:v>
                </c:pt>
                <c:pt idx="7">
                  <c:v>0</c:v>
                </c:pt>
                <c:pt idx="8">
                  <c:v>0.0006</c:v>
                </c:pt>
                <c:pt idx="9">
                  <c:v>0.0003</c:v>
                </c:pt>
              </c:numCache>
            </c:numRef>
          </c:val>
        </c:ser>
        <c:dLbls>
          <c:showLegendKey val="0"/>
          <c:showVal val="0"/>
          <c:showCatName val="0"/>
          <c:showSerName val="0"/>
          <c:showPercent val="0"/>
          <c:showBubbleSize val="0"/>
        </c:dLbls>
        <c:gapWidth val="95"/>
        <c:overlap val="100"/>
        <c:axId val="168143872"/>
        <c:axId val="168512320"/>
      </c:barChart>
      <c:lineChart>
        <c:grouping val="standard"/>
        <c:varyColors val="0"/>
        <c:ser>
          <c:idx val="5"/>
          <c:order val="5"/>
          <c:tx>
            <c:strRef>
              <c:f>Sheet1!$A$7</c:f>
              <c:strCache>
                <c:ptCount val="1"/>
                <c:pt idx="0">
                  <c:v>平均长度
整齐度值</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Sheet1!$B$1:$K$1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Sheet1!$B$7:$K$7</c:f>
              <c:numCache>
                <c:formatCode>0.00_ </c:formatCode>
                <c:ptCount val="10"/>
                <c:pt idx="0">
                  <c:v>82.49</c:v>
                </c:pt>
                <c:pt idx="1">
                  <c:v>82.67</c:v>
                </c:pt>
                <c:pt idx="2">
                  <c:v>82.06</c:v>
                </c:pt>
                <c:pt idx="3">
                  <c:v>82.15</c:v>
                </c:pt>
                <c:pt idx="4">
                  <c:v>81.59</c:v>
                </c:pt>
                <c:pt idx="5">
                  <c:v>82.17</c:v>
                </c:pt>
                <c:pt idx="6">
                  <c:v>80.81</c:v>
                </c:pt>
                <c:pt idx="7">
                  <c:v>81.09</c:v>
                </c:pt>
                <c:pt idx="8">
                  <c:v>83.14</c:v>
                </c:pt>
                <c:pt idx="9">
                  <c:v>82.5</c:v>
                </c:pt>
              </c:numCache>
            </c:numRef>
          </c:val>
          <c:smooth val="0"/>
        </c:ser>
        <c:dLbls>
          <c:showLegendKey val="0"/>
          <c:showVal val="0"/>
          <c:showCatName val="0"/>
          <c:showSerName val="0"/>
          <c:showPercent val="0"/>
          <c:showBubbleSize val="0"/>
        </c:dLbls>
        <c:marker val="1"/>
        <c:smooth val="0"/>
        <c:axId val="168144384"/>
        <c:axId val="168512896"/>
      </c:lineChart>
      <c:catAx>
        <c:axId val="1681438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512320"/>
        <c:crosses val="autoZero"/>
        <c:auto val="1"/>
        <c:lblAlgn val="ctr"/>
        <c:lblOffset val="100"/>
        <c:noMultiLvlLbl val="0"/>
      </c:catAx>
      <c:valAx>
        <c:axId val="168512320"/>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a:t>
                </a:r>
                <a:endParaRPr lang="zh-CN" altLang="en-US"/>
              </a:p>
            </c:rich>
          </c:tx>
          <c:layout>
            <c:manualLayout>
              <c:xMode val="edge"/>
              <c:yMode val="edge"/>
              <c:x val="0.96654615795611"/>
              <c:y val="0.308869176941635"/>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143872"/>
        <c:crosses val="autoZero"/>
        <c:crossBetween val="between"/>
      </c:valAx>
      <c:catAx>
        <c:axId val="16814438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512896"/>
        <c:crosses val="autoZero"/>
        <c:auto val="1"/>
        <c:lblAlgn val="ctr"/>
        <c:lblOffset val="100"/>
        <c:noMultiLvlLbl val="0"/>
      </c:catAx>
      <c:valAx>
        <c:axId val="168512896"/>
        <c:scaling>
          <c:orientation val="minMax"/>
        </c:scaling>
        <c:delete val="0"/>
        <c:axPos val="r"/>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144384"/>
        <c:crosses val="max"/>
        <c:crossBetween val="between"/>
      </c:valAx>
      <c:dTable>
        <c:showHorzBorder val="1"/>
        <c:showVertBorder val="1"/>
        <c:showOutline val="1"/>
        <c:showKeys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图</a:t>
            </a:r>
            <a:r>
              <a:rPr lang="en-US" altLang="zh-CN" sz="1100" b="1" i="0" baseline="0">
                <a:effectLst/>
                <a:latin typeface="+mn-ea"/>
                <a:ea typeface="+mn-ea"/>
              </a:rPr>
              <a:t>1-2 2017/2018</a:t>
            </a:r>
            <a:r>
              <a:rPr lang="zh-CN" altLang="zh-CN" sz="1100" b="1" i="0" baseline="0">
                <a:effectLst/>
                <a:latin typeface="+mn-ea"/>
                <a:ea typeface="+mn-ea"/>
              </a:rPr>
              <a:t>年度全国各产棉省份检验数量占比分布图</a:t>
            </a:r>
            <a:endParaRPr lang="zh-CN" altLang="zh-CN" sz="1100">
              <a:effectLst/>
              <a:latin typeface="+mn-ea"/>
              <a:ea typeface="+mn-ea"/>
            </a:endParaRPr>
          </a:p>
        </c:rich>
      </c:tx>
      <c:layout>
        <c:manualLayout>
          <c:xMode val="edge"/>
          <c:yMode val="edge"/>
          <c:x val="0.206644219977553"/>
          <c:y val="0.922018348623853"/>
        </c:manualLayout>
      </c:layout>
      <c:overlay val="0"/>
    </c:title>
    <c:autoTitleDeleted val="0"/>
    <c:plotArea>
      <c:layout/>
      <c:pieChart>
        <c:varyColors val="1"/>
        <c:ser>
          <c:idx val="0"/>
          <c:order val="0"/>
          <c:tx>
            <c:strRef>
              <c:f>Sheet1!$B$1</c:f>
              <c:strCache>
                <c:ptCount val="1"/>
                <c:pt idx="0">
                  <c:v>比重</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Lbl>
              <c:idx val="2"/>
              <c:layout>
                <c:manualLayout>
                  <c:x val="-0.11321848633425"/>
                  <c:y val="0.01720767630907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554222567763898"/>
                  <c:y val="0.067137184385558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378635455737984"/>
                  <c:y val="-0.0079761378273631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634546937557155"/>
                  <c:y val="-0.022110167204801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999598122808609"/>
                  <c:y val="-0.09528313479091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0735017732649904"/>
                  <c:y val="-0.056315302842618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190353906967283"/>
                  <c:y val="-0.042330856326744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179769355110782"/>
                  <c:y val="0.017311349981215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Sheet1!$A$2:$A$11</c:f>
              <c:strCache>
                <c:ptCount val="10"/>
                <c:pt idx="0">
                  <c:v>新疆地方</c:v>
                </c:pt>
                <c:pt idx="1">
                  <c:v>新疆兵团</c:v>
                </c:pt>
                <c:pt idx="2">
                  <c:v>安徽</c:v>
                </c:pt>
                <c:pt idx="3">
                  <c:v>甘肃</c:v>
                </c:pt>
                <c:pt idx="4">
                  <c:v>河北</c:v>
                </c:pt>
                <c:pt idx="5">
                  <c:v>湖北</c:v>
                </c:pt>
                <c:pt idx="6">
                  <c:v>湖南</c:v>
                </c:pt>
                <c:pt idx="7">
                  <c:v>江苏</c:v>
                </c:pt>
                <c:pt idx="8">
                  <c:v>山东</c:v>
                </c:pt>
                <c:pt idx="9">
                  <c:v>天津</c:v>
                </c:pt>
              </c:strCache>
            </c:strRef>
          </c:cat>
          <c:val>
            <c:numRef>
              <c:f>Sheet1!$B$2:$B$11</c:f>
              <c:numCache>
                <c:formatCode>0.00%</c:formatCode>
                <c:ptCount val="10"/>
                <c:pt idx="0">
                  <c:v>0.6528</c:v>
                </c:pt>
                <c:pt idx="1">
                  <c:v>0.2922</c:v>
                </c:pt>
                <c:pt idx="2">
                  <c:v>0.0008</c:v>
                </c:pt>
                <c:pt idx="3">
                  <c:v>0.0075</c:v>
                </c:pt>
                <c:pt idx="4">
                  <c:v>0.0116</c:v>
                </c:pt>
                <c:pt idx="5">
                  <c:v>0.0017</c:v>
                </c:pt>
                <c:pt idx="6">
                  <c:v>0</c:v>
                </c:pt>
                <c:pt idx="7">
                  <c:v>0.0016</c:v>
                </c:pt>
                <c:pt idx="8">
                  <c:v>0.0312</c:v>
                </c:pt>
                <c:pt idx="9">
                  <c:v>0.0006</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图</a:t>
            </a:r>
            <a:r>
              <a:rPr lang="en-US" altLang="zh-CN" sz="1100" b="1" i="0" baseline="0">
                <a:effectLst/>
                <a:latin typeface="+mn-ea"/>
                <a:ea typeface="+mn-ea"/>
              </a:rPr>
              <a:t>2-14 2015/2016</a:t>
            </a:r>
            <a:r>
              <a:rPr lang="zh-CN" altLang="zh-CN" sz="1100" b="1" i="0" baseline="0">
                <a:effectLst/>
                <a:latin typeface="+mn-ea"/>
                <a:ea typeface="+mn-ea"/>
              </a:rPr>
              <a:t>年度</a:t>
            </a:r>
            <a:r>
              <a:rPr lang="en-US" altLang="zh-CN" sz="1100" b="1" i="0" baseline="0">
                <a:effectLst/>
                <a:latin typeface="+mn-ea"/>
                <a:ea typeface="+mn-ea"/>
              </a:rPr>
              <a:t>-2017/2018</a:t>
            </a:r>
            <a:r>
              <a:rPr lang="zh-CN" altLang="zh-CN" sz="1100" b="1" i="0" baseline="0">
                <a:effectLst/>
                <a:latin typeface="+mn-ea"/>
                <a:ea typeface="+mn-ea"/>
              </a:rPr>
              <a:t>年度各产棉省份</a:t>
            </a:r>
            <a:endParaRPr lang="zh-CN" altLang="zh-CN" sz="1100">
              <a:effectLst/>
              <a:latin typeface="+mn-ea"/>
              <a:ea typeface="+mn-ea"/>
            </a:endParaRPr>
          </a:p>
          <a:p>
            <a:pPr algn="ct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棉花平均长度整齐度指数变化情况图</a:t>
            </a:r>
            <a:endParaRPr lang="zh-CN" altLang="zh-CN" sz="1100">
              <a:effectLst/>
              <a:latin typeface="+mn-ea"/>
              <a:ea typeface="+mn-ea"/>
            </a:endParaRPr>
          </a:p>
        </c:rich>
      </c:tx>
      <c:layout>
        <c:manualLayout>
          <c:xMode val="edge"/>
          <c:yMode val="edge"/>
          <c:x val="0.251990740740741"/>
          <c:y val="0.906926406926407"/>
        </c:manualLayout>
      </c:layout>
      <c:overlay val="0"/>
    </c:title>
    <c:autoTitleDeleted val="0"/>
    <c:plotArea>
      <c:layout>
        <c:manualLayout>
          <c:layoutTarget val="inner"/>
          <c:xMode val="edge"/>
          <c:yMode val="edge"/>
          <c:x val="0.202325204141149"/>
          <c:y val="0.016017316017316"/>
          <c:w val="0.747055628463109"/>
          <c:h val="0.691393291747622"/>
        </c:manualLayout>
      </c:layout>
      <c:barChart>
        <c:barDir val="bar"/>
        <c:grouping val="clustered"/>
        <c:varyColors val="0"/>
        <c:ser>
          <c:idx val="0"/>
          <c:order val="0"/>
          <c:tx>
            <c:strRef>
              <c:f>Sheet1!$B$1</c:f>
              <c:strCache>
                <c:ptCount val="1"/>
                <c:pt idx="0">
                  <c:v>2015/2016年度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Sheet1!$B$2:$B$11</c:f>
              <c:numCache>
                <c:formatCode>0.00_ </c:formatCode>
                <c:ptCount val="10"/>
                <c:pt idx="0">
                  <c:v>82.68</c:v>
                </c:pt>
                <c:pt idx="1">
                  <c:v>82.36</c:v>
                </c:pt>
                <c:pt idx="2">
                  <c:v>82.18</c:v>
                </c:pt>
                <c:pt idx="3">
                  <c:v>82.81</c:v>
                </c:pt>
                <c:pt idx="4">
                  <c:v>83.35</c:v>
                </c:pt>
                <c:pt idx="5">
                  <c:v>82.44</c:v>
                </c:pt>
                <c:pt idx="6">
                  <c:v>83.37</c:v>
                </c:pt>
                <c:pt idx="7">
                  <c:v>82.82</c:v>
                </c:pt>
                <c:pt idx="8">
                  <c:v>83.02</c:v>
                </c:pt>
                <c:pt idx="9">
                  <c:v>82.7</c:v>
                </c:pt>
              </c:numCache>
            </c:numRef>
          </c:val>
        </c:ser>
        <c:ser>
          <c:idx val="1"/>
          <c:order val="1"/>
          <c:tx>
            <c:strRef>
              <c:f>Sheet1!$C$1</c:f>
              <c:strCache>
                <c:ptCount val="1"/>
                <c:pt idx="0">
                  <c:v>2016/2017年度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Sheet1!$C$2:$C$11</c:f>
              <c:numCache>
                <c:formatCode>0.00_ </c:formatCode>
                <c:ptCount val="10"/>
                <c:pt idx="0">
                  <c:v>82.91</c:v>
                </c:pt>
                <c:pt idx="1">
                  <c:v>82.98</c:v>
                </c:pt>
                <c:pt idx="2">
                  <c:v>82.77</c:v>
                </c:pt>
                <c:pt idx="3">
                  <c:v>82.11</c:v>
                </c:pt>
                <c:pt idx="4">
                  <c:v>82.28</c:v>
                </c:pt>
                <c:pt idx="5">
                  <c:v>82.39</c:v>
                </c:pt>
                <c:pt idx="6">
                  <c:v>82.23</c:v>
                </c:pt>
                <c:pt idx="7">
                  <c:v>82.31</c:v>
                </c:pt>
                <c:pt idx="8">
                  <c:v>82.99</c:v>
                </c:pt>
                <c:pt idx="9">
                  <c:v>82.93</c:v>
                </c:pt>
              </c:numCache>
            </c:numRef>
          </c:val>
        </c:ser>
        <c:ser>
          <c:idx val="2"/>
          <c:order val="2"/>
          <c:tx>
            <c:strRef>
              <c:f>Sheet1!$D$1</c:f>
              <c:strCache>
                <c:ptCount val="1"/>
                <c:pt idx="0">
                  <c:v>2017/2018年度</c:v>
                </c:pt>
              </c:strCache>
            </c:strRef>
          </c:tx>
          <c:invertIfNegative val="0"/>
          <c:dLbls>
            <c:delete val="1"/>
          </c:dLbls>
          <c:cat>
            <c:strRef>
              <c:f>Sheet1!$A$2:$A$11</c:f>
              <c:strCache>
                <c:ptCount val="10"/>
                <c:pt idx="0">
                  <c:v>全国</c:v>
                </c:pt>
                <c:pt idx="1">
                  <c:v>天津</c:v>
                </c:pt>
                <c:pt idx="2">
                  <c:v>河北</c:v>
                </c:pt>
                <c:pt idx="3">
                  <c:v>江苏</c:v>
                </c:pt>
                <c:pt idx="4">
                  <c:v>安徽</c:v>
                </c:pt>
                <c:pt idx="5">
                  <c:v>山东</c:v>
                </c:pt>
                <c:pt idx="6">
                  <c:v>湖北</c:v>
                </c:pt>
                <c:pt idx="7">
                  <c:v>湖南</c:v>
                </c:pt>
                <c:pt idx="8">
                  <c:v>甘肃</c:v>
                </c:pt>
                <c:pt idx="9">
                  <c:v>新疆</c:v>
                </c:pt>
              </c:strCache>
            </c:strRef>
          </c:cat>
          <c:val>
            <c:numRef>
              <c:f>Sheet1!$D$2:$D$11</c:f>
              <c:numCache>
                <c:formatCode>0.00_ </c:formatCode>
                <c:ptCount val="10"/>
                <c:pt idx="0">
                  <c:v>82.49</c:v>
                </c:pt>
                <c:pt idx="1">
                  <c:v>82.67</c:v>
                </c:pt>
                <c:pt idx="2">
                  <c:v>82.06</c:v>
                </c:pt>
                <c:pt idx="3">
                  <c:v>82.15</c:v>
                </c:pt>
                <c:pt idx="4">
                  <c:v>81.59</c:v>
                </c:pt>
                <c:pt idx="5">
                  <c:v>82.17</c:v>
                </c:pt>
                <c:pt idx="6">
                  <c:v>80.81</c:v>
                </c:pt>
                <c:pt idx="7">
                  <c:v>81.09</c:v>
                </c:pt>
                <c:pt idx="8">
                  <c:v>83.14</c:v>
                </c:pt>
                <c:pt idx="9">
                  <c:v>82.5</c:v>
                </c:pt>
              </c:numCache>
            </c:numRef>
          </c:val>
        </c:ser>
        <c:dLbls>
          <c:showLegendKey val="0"/>
          <c:showVal val="0"/>
          <c:showCatName val="0"/>
          <c:showSerName val="0"/>
          <c:showPercent val="0"/>
          <c:showBubbleSize val="0"/>
        </c:dLbls>
        <c:gapWidth val="150"/>
        <c:axId val="168711168"/>
        <c:axId val="168515200"/>
      </c:barChart>
      <c:catAx>
        <c:axId val="168711168"/>
        <c:scaling>
          <c:orientation val="minMax"/>
        </c:scaling>
        <c:delete val="0"/>
        <c:axPos val="l"/>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zh-CN" sz="1000" b="1" i="0" baseline="0">
                    <a:effectLst/>
                    <a:latin typeface="+mn-ea"/>
                    <a:ea typeface="+mn-ea"/>
                  </a:rPr>
                  <a:t>单位：</a:t>
                </a:r>
                <a:r>
                  <a:rPr lang="en-US" altLang="zh-CN" sz="1000" b="1" i="0" baseline="0">
                    <a:effectLst/>
                    <a:latin typeface="+mn-ea"/>
                    <a:ea typeface="+mn-ea"/>
                  </a:rPr>
                  <a:t>%</a:t>
                </a:r>
                <a:endParaRPr lang="zh-CN" altLang="zh-CN" sz="1000">
                  <a:effectLst/>
                  <a:latin typeface="+mn-ea"/>
                  <a:ea typeface="+mn-ea"/>
                </a:endParaRPr>
              </a:p>
            </c:rich>
          </c:tx>
          <c:layout>
            <c:manualLayout>
              <c:xMode val="edge"/>
              <c:yMode val="edge"/>
              <c:x val="0.0582626130067075"/>
              <c:y val="0.289717251252684"/>
            </c:manualLayout>
          </c:layout>
          <c:overlay val="0"/>
        </c:title>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515200"/>
        <c:crosses val="autoZero"/>
        <c:auto val="1"/>
        <c:lblAlgn val="ctr"/>
        <c:lblOffset val="100"/>
        <c:noMultiLvlLbl val="0"/>
      </c:catAx>
      <c:valAx>
        <c:axId val="168515200"/>
        <c:scaling>
          <c:orientation val="minMax"/>
        </c:scaling>
        <c:delete val="0"/>
        <c:axPos val="b"/>
        <c:majorGridlines/>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1116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2-15 2013/2014</a:t>
            </a:r>
            <a:r>
              <a:rPr lang="zh-CN" altLang="zh-CN" sz="1100" b="1">
                <a:effectLst/>
                <a:latin typeface="+mn-ea"/>
                <a:ea typeface="+mn-ea"/>
              </a:rPr>
              <a:t>年度</a:t>
            </a:r>
            <a:r>
              <a:rPr lang="en-US" altLang="zh-CN" sz="1100" b="1">
                <a:effectLst/>
                <a:latin typeface="+mn-ea"/>
                <a:ea typeface="+mn-ea"/>
              </a:rPr>
              <a:t>-2017/2018</a:t>
            </a:r>
            <a:r>
              <a:rPr lang="zh-CN" altLang="zh-CN" sz="1100" b="1">
                <a:effectLst/>
                <a:latin typeface="+mn-ea"/>
                <a:ea typeface="+mn-ea"/>
              </a:rPr>
              <a:t>年度全国棉花</a:t>
            </a:r>
            <a:endParaRPr lang="zh-CN" altLang="zh-CN" sz="1100">
              <a:effectLst/>
              <a:latin typeface="+mn-ea"/>
              <a:ea typeface="+mn-ea"/>
            </a:endParaRPr>
          </a:p>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长度整齐度指数变化情况图</a:t>
            </a:r>
            <a:endParaRPr lang="zh-CN" altLang="en-US" sz="1100">
              <a:latin typeface="+mn-ea"/>
              <a:ea typeface="+mn-ea"/>
            </a:endParaRPr>
          </a:p>
        </c:rich>
      </c:tx>
      <c:layout>
        <c:manualLayout>
          <c:xMode val="edge"/>
          <c:yMode val="edge"/>
          <c:x val="0.214953703703704"/>
          <c:y val="0.869041560644614"/>
        </c:manualLayout>
      </c:layout>
      <c:overlay val="1"/>
    </c:title>
    <c:autoTitleDeleted val="0"/>
    <c:plotArea>
      <c:layout>
        <c:manualLayout>
          <c:layoutTarget val="inner"/>
          <c:xMode val="edge"/>
          <c:yMode val="edge"/>
          <c:x val="0.0883101851851852"/>
          <c:y val="0.0376933895921238"/>
          <c:w val="0.766203703703704"/>
          <c:h val="0.685654008438819"/>
        </c:manualLayout>
      </c:layout>
      <c:barChart>
        <c:barDir val="col"/>
        <c:grouping val="percentStacked"/>
        <c:varyColors val="0"/>
        <c:ser>
          <c:idx val="0"/>
          <c:order val="0"/>
          <c:tx>
            <c:strRef>
              <c:f>Sheet1!$B$1</c:f>
              <c:strCache>
                <c:ptCount val="1"/>
                <c:pt idx="0">
                  <c:v>低及以下</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0.00%</c:formatCode>
                <c:ptCount val="5"/>
                <c:pt idx="0">
                  <c:v>0.0183</c:v>
                </c:pt>
                <c:pt idx="1">
                  <c:v>0.0126</c:v>
                </c:pt>
                <c:pt idx="2">
                  <c:v>0.0086</c:v>
                </c:pt>
                <c:pt idx="3">
                  <c:v>0.0064</c:v>
                </c:pt>
                <c:pt idx="4">
                  <c:v>0.0143</c:v>
                </c:pt>
              </c:numCache>
            </c:numRef>
          </c:val>
        </c:ser>
        <c:ser>
          <c:idx val="1"/>
          <c:order val="1"/>
          <c:tx>
            <c:strRef>
              <c:f>Sheet1!$C$1</c:f>
              <c:strCache>
                <c:ptCount val="1"/>
                <c:pt idx="0">
                  <c:v>中等</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0.00%</c:formatCode>
                <c:ptCount val="5"/>
                <c:pt idx="0">
                  <c:v>0.6661</c:v>
                </c:pt>
                <c:pt idx="1">
                  <c:v>0.5403</c:v>
                </c:pt>
                <c:pt idx="2">
                  <c:v>0.5866</c:v>
                </c:pt>
                <c:pt idx="3">
                  <c:v>0.4929</c:v>
                </c:pt>
                <c:pt idx="4">
                  <c:v>0.6479</c:v>
                </c:pt>
              </c:numCache>
            </c:numRef>
          </c:val>
        </c:ser>
        <c:ser>
          <c:idx val="2"/>
          <c:order val="2"/>
          <c:tx>
            <c:strRef>
              <c:f>Sheet1!$D$1</c:f>
              <c:strCache>
                <c:ptCount val="1"/>
                <c:pt idx="0">
                  <c:v>高及以上</c:v>
                </c:pt>
              </c:strCache>
            </c:strRef>
          </c:tx>
          <c:invertIfNegative val="0"/>
          <c:dLbls>
            <c:dLbl>
              <c:idx val="4"/>
              <c:layout>
                <c:manualLayout>
                  <c:x val="0.00694444444444444"/>
                  <c:y val="0.035714285714285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0.00%</c:formatCode>
                <c:ptCount val="5"/>
                <c:pt idx="0">
                  <c:v>0.3156</c:v>
                </c:pt>
                <c:pt idx="1">
                  <c:v>0.4471</c:v>
                </c:pt>
                <c:pt idx="2">
                  <c:v>0.4047</c:v>
                </c:pt>
                <c:pt idx="3">
                  <c:v>0.5007</c:v>
                </c:pt>
                <c:pt idx="4">
                  <c:v>0.3378</c:v>
                </c:pt>
              </c:numCache>
            </c:numRef>
          </c:val>
        </c:ser>
        <c:dLbls>
          <c:showLegendKey val="0"/>
          <c:showVal val="1"/>
          <c:showCatName val="0"/>
          <c:showSerName val="0"/>
          <c:showPercent val="0"/>
          <c:showBubbleSize val="0"/>
        </c:dLbls>
        <c:gapWidth val="150"/>
        <c:overlap val="100"/>
        <c:axId val="168712704"/>
        <c:axId val="168516928"/>
      </c:barChart>
      <c:lineChart>
        <c:grouping val="standard"/>
        <c:varyColors val="0"/>
        <c:ser>
          <c:idx val="3"/>
          <c:order val="3"/>
          <c:tx>
            <c:strRef>
              <c:f>Sheet1!$E$1</c:f>
              <c:strCache>
                <c:ptCount val="1"/>
                <c:pt idx="0">
                  <c:v>平均长度整齐度指数</c:v>
                </c:pt>
              </c:strCache>
            </c:strRef>
          </c:tx>
          <c:dLbls>
            <c:dLbl>
              <c:idx val="3"/>
              <c:layout>
                <c:manualLayout>
                  <c:x val="-0.0483854622338874"/>
                  <c:y val="-0.02380952380952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83854622338874"/>
                  <c:y val="-0.02380952380952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Sheet1!$E$2:$E$6</c:f>
              <c:numCache>
                <c:formatCode>0.00_ </c:formatCode>
                <c:ptCount val="5"/>
                <c:pt idx="0">
                  <c:v>82.41</c:v>
                </c:pt>
                <c:pt idx="1">
                  <c:v>82.34</c:v>
                </c:pt>
                <c:pt idx="2">
                  <c:v>82.68</c:v>
                </c:pt>
                <c:pt idx="3">
                  <c:v>82.91</c:v>
                </c:pt>
                <c:pt idx="4">
                  <c:v>82.49</c:v>
                </c:pt>
              </c:numCache>
            </c:numRef>
          </c:val>
          <c:smooth val="0"/>
        </c:ser>
        <c:dLbls>
          <c:showLegendKey val="0"/>
          <c:showVal val="1"/>
          <c:showCatName val="0"/>
          <c:showSerName val="0"/>
          <c:showPercent val="0"/>
          <c:showBubbleSize val="0"/>
        </c:dLbls>
        <c:marker val="1"/>
        <c:smooth val="0"/>
        <c:axId val="168713216"/>
        <c:axId val="169238528"/>
      </c:lineChart>
      <c:catAx>
        <c:axId val="168712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516928"/>
        <c:crosses val="autoZero"/>
        <c:auto val="1"/>
        <c:lblAlgn val="ctr"/>
        <c:lblOffset val="100"/>
        <c:noMultiLvlLbl val="0"/>
      </c:catAx>
      <c:valAx>
        <c:axId val="16851692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12704"/>
        <c:crosses val="autoZero"/>
        <c:crossBetween val="between"/>
      </c:valAx>
      <c:catAx>
        <c:axId val="16871321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238528"/>
        <c:crosses val="autoZero"/>
        <c:auto val="1"/>
        <c:lblAlgn val="ctr"/>
        <c:lblOffset val="100"/>
        <c:noMultiLvlLbl val="0"/>
      </c:catAx>
      <c:valAx>
        <c:axId val="169238528"/>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a:t>
                </a:r>
                <a:endParaRPr lang="zh-CN" altLang="en-US"/>
              </a:p>
            </c:rich>
          </c:tx>
          <c:layout/>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13216"/>
        <c:crosses val="max"/>
        <c:crossBetween val="between"/>
      </c:valAx>
    </c:plotArea>
    <c:legend>
      <c:legendPos val="b"/>
      <c:layout>
        <c:manualLayout>
          <c:xMode val="edge"/>
          <c:yMode val="edge"/>
          <c:x val="0.0935185185185185"/>
          <c:y val="0.799549064000588"/>
          <c:w val="0.794444444444444"/>
          <c:h val="0.054548758328285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1-3 2013/2014</a:t>
            </a:r>
            <a:r>
              <a:rPr lang="zh-CN" altLang="zh-CN" sz="1100" b="1" i="0" u="none" strike="noStrike" baseline="0">
                <a:effectLst/>
                <a:latin typeface="+mn-ea"/>
                <a:ea typeface="+mn-ea"/>
              </a:rPr>
              <a:t>年度</a:t>
            </a:r>
            <a:r>
              <a:rPr lang="en-US" altLang="zh-CN" sz="1100" b="1" i="0" u="none" strike="noStrike" baseline="0">
                <a:effectLst/>
                <a:latin typeface="+mn-ea"/>
                <a:ea typeface="+mn-ea"/>
              </a:rPr>
              <a:t>-2017/2018</a:t>
            </a:r>
            <a:r>
              <a:rPr lang="zh-CN" altLang="zh-CN" sz="1100" b="1" i="0" u="none" strike="noStrike" baseline="0">
                <a:effectLst/>
                <a:latin typeface="+mn-ea"/>
                <a:ea typeface="+mn-ea"/>
              </a:rPr>
              <a:t>年度三大产棉区检验量占比变化图</a:t>
            </a:r>
            <a:endParaRPr lang="zh-CN" altLang="en-US" sz="1100">
              <a:latin typeface="+mn-ea"/>
              <a:ea typeface="+mn-ea"/>
            </a:endParaRPr>
          </a:p>
        </c:rich>
      </c:tx>
      <c:layout>
        <c:manualLayout>
          <c:xMode val="edge"/>
          <c:yMode val="edge"/>
          <c:x val="0.210412829133493"/>
          <c:y val="0.909706299905124"/>
        </c:manualLayout>
      </c:layout>
      <c:overlay val="0"/>
    </c:title>
    <c:autoTitleDeleted val="0"/>
    <c:plotArea>
      <c:layout>
        <c:manualLayout>
          <c:layoutTarget val="inner"/>
          <c:xMode val="edge"/>
          <c:yMode val="edge"/>
          <c:x val="0.215241870807816"/>
          <c:y val="0.0396296974506094"/>
          <c:w val="0.763924795858851"/>
          <c:h val="0.591836200331074"/>
        </c:manualLayout>
      </c:layout>
      <c:areaChart>
        <c:grouping val="percentStacked"/>
        <c:varyColors val="0"/>
        <c:ser>
          <c:idx val="0"/>
          <c:order val="0"/>
          <c:tx>
            <c:strRef>
              <c:f>Sheet1!$B$1</c:f>
              <c:strCache>
                <c:ptCount val="1"/>
                <c:pt idx="0">
                  <c:v>长江流域棉区</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General</c:formatCode>
                <c:ptCount val="5"/>
                <c:pt idx="0">
                  <c:v>513.71</c:v>
                </c:pt>
                <c:pt idx="1">
                  <c:v>131.54</c:v>
                </c:pt>
                <c:pt idx="2">
                  <c:v>19.29</c:v>
                </c:pt>
                <c:pt idx="3">
                  <c:v>9.69</c:v>
                </c:pt>
                <c:pt idx="4">
                  <c:v>9.64</c:v>
                </c:pt>
              </c:numCache>
            </c:numRef>
          </c:val>
        </c:ser>
        <c:ser>
          <c:idx val="1"/>
          <c:order val="1"/>
          <c:tx>
            <c:strRef>
              <c:f>Sheet1!$C$1</c:f>
              <c:strCache>
                <c:ptCount val="1"/>
                <c:pt idx="0">
                  <c:v>黄河流域棉区</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General</c:formatCode>
                <c:ptCount val="5"/>
                <c:pt idx="0">
                  <c:v>631.32</c:v>
                </c:pt>
                <c:pt idx="1">
                  <c:v>264.92</c:v>
                </c:pt>
                <c:pt idx="2">
                  <c:v>108.16</c:v>
                </c:pt>
                <c:pt idx="3">
                  <c:v>65.23</c:v>
                </c:pt>
                <c:pt idx="4" c:formatCode="0.00_ ">
                  <c:v>99.8</c:v>
                </c:pt>
              </c:numCache>
            </c:numRef>
          </c:val>
        </c:ser>
        <c:ser>
          <c:idx val="2"/>
          <c:order val="2"/>
          <c:tx>
            <c:strRef>
              <c:f>Sheet1!$D$1</c:f>
              <c:strCache>
                <c:ptCount val="1"/>
                <c:pt idx="0">
                  <c:v>西北内陆棉区</c:v>
                </c:pt>
              </c:strCache>
            </c:strRef>
          </c:tx>
          <c:spPr>
            <a:ln w="25400">
              <a:noFill/>
            </a:ln>
          </c:spPr>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General</c:formatCode>
                <c:ptCount val="5"/>
                <c:pt idx="0">
                  <c:v>2121.87</c:v>
                </c:pt>
                <c:pt idx="1">
                  <c:v>1874.56</c:v>
                </c:pt>
                <c:pt idx="2">
                  <c:v>1456.59</c:v>
                </c:pt>
                <c:pt idx="3">
                  <c:v>1684.01</c:v>
                </c:pt>
                <c:pt idx="4">
                  <c:v>2193.19</c:v>
                </c:pt>
              </c:numCache>
            </c:numRef>
          </c:val>
        </c:ser>
        <c:dLbls>
          <c:showLegendKey val="0"/>
          <c:showVal val="0"/>
          <c:showCatName val="0"/>
          <c:showSerName val="0"/>
          <c:showPercent val="0"/>
          <c:showBubbleSize val="0"/>
        </c:dLbls>
        <c:axId val="78970368"/>
        <c:axId val="54490176"/>
      </c:areaChart>
      <c:catAx>
        <c:axId val="78970368"/>
        <c:scaling>
          <c:orientation val="minMax"/>
        </c:scaling>
        <c:delete val="0"/>
        <c:axPos val="b"/>
        <c:numFmt formatCode="m/d/yyyy"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490176"/>
        <c:crosses val="autoZero"/>
        <c:auto val="1"/>
        <c:lblAlgn val="ctr"/>
        <c:lblOffset val="100"/>
        <c:noMultiLvlLbl val="0"/>
      </c:catAx>
      <c:valAx>
        <c:axId val="54490176"/>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endParaRPr lang="zh-CN" altLang="en-US"/>
              </a:p>
            </c:rich>
          </c:tx>
          <c:layout>
            <c:manualLayout>
              <c:xMode val="edge"/>
              <c:yMode val="edge"/>
              <c:x val="0.0838615596779216"/>
              <c:y val="0.304852181247128"/>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970368"/>
        <c:crosses val="autoZero"/>
        <c:crossBetween val="midCat"/>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ea"/>
                <a:ea typeface="+mn-ea"/>
                <a:cs typeface="+mn-cs"/>
              </a:defRPr>
            </a:pPr>
            <a:r>
              <a:rPr lang="zh-CN" altLang="zh-CN" sz="1100" b="1">
                <a:effectLst/>
                <a:latin typeface="+mn-ea"/>
                <a:ea typeface="+mn-ea"/>
              </a:rPr>
              <a:t>图</a:t>
            </a:r>
            <a:r>
              <a:rPr lang="en-US" altLang="zh-CN" sz="1100" b="1">
                <a:effectLst/>
                <a:latin typeface="+mn-ea"/>
                <a:ea typeface="+mn-ea"/>
              </a:rPr>
              <a:t>1-3-1 2013/2014</a:t>
            </a:r>
            <a:r>
              <a:rPr lang="zh-CN" altLang="zh-CN" sz="1100" b="1">
                <a:effectLst/>
                <a:latin typeface="+mn-ea"/>
                <a:ea typeface="+mn-ea"/>
              </a:rPr>
              <a:t>年度</a:t>
            </a:r>
            <a:r>
              <a:rPr lang="en-US" altLang="zh-CN" sz="1100" b="1">
                <a:effectLst/>
                <a:latin typeface="+mn-ea"/>
                <a:ea typeface="+mn-ea"/>
              </a:rPr>
              <a:t>-2017/2018</a:t>
            </a:r>
            <a:r>
              <a:rPr lang="zh-CN" altLang="zh-CN" sz="1100" b="1">
                <a:effectLst/>
                <a:latin typeface="+mn-ea"/>
                <a:ea typeface="+mn-ea"/>
              </a:rPr>
              <a:t>年度长江流域棉区</a:t>
            </a:r>
            <a:endParaRPr lang="en-US" altLang="zh-CN" sz="1100" b="1">
              <a:effectLst/>
              <a:latin typeface="+mn-ea"/>
              <a:ea typeface="+mn-ea"/>
            </a:endParaRPr>
          </a:p>
          <a:p>
            <a:pPr>
              <a:defRPr lang="zh-CN" sz="1800" b="1" i="0" u="none" strike="noStrike" kern="1200" baseline="0">
                <a:solidFill>
                  <a:schemeClr val="tx1"/>
                </a:solidFill>
                <a:latin typeface="+mn-ea"/>
                <a:ea typeface="+mn-ea"/>
                <a:cs typeface="+mn-cs"/>
              </a:defRPr>
            </a:pPr>
            <a:r>
              <a:rPr lang="zh-CN" altLang="zh-CN" sz="1100" b="1">
                <a:effectLst/>
                <a:latin typeface="+mn-ea"/>
                <a:ea typeface="+mn-ea"/>
              </a:rPr>
              <a:t>各产棉省份检验数量变化趋势图</a:t>
            </a:r>
            <a:endParaRPr lang="zh-CN" altLang="en-US" sz="1100">
              <a:latin typeface="+mn-ea"/>
              <a:ea typeface="+mn-ea"/>
            </a:endParaRPr>
          </a:p>
        </c:rich>
      </c:tx>
      <c:layout>
        <c:manualLayout>
          <c:xMode val="edge"/>
          <c:yMode val="edge"/>
          <c:x val="0.247930446194226"/>
          <c:y val="0.855405428044899"/>
        </c:manualLayout>
      </c:layout>
      <c:overlay val="1"/>
    </c:title>
    <c:autoTitleDeleted val="0"/>
    <c:plotArea>
      <c:layout>
        <c:manualLayout>
          <c:layoutTarget val="inner"/>
          <c:xMode val="edge"/>
          <c:yMode val="edge"/>
          <c:x val="0.157170833333333"/>
          <c:y val="0.0439716312056738"/>
          <c:w val="0.817308333333333"/>
          <c:h val="0.507978723404255"/>
        </c:manualLayout>
      </c:layout>
      <c:lineChart>
        <c:grouping val="standard"/>
        <c:varyColors val="0"/>
        <c:ser>
          <c:idx val="0"/>
          <c:order val="0"/>
          <c:tx>
            <c:strRef>
              <c:f>Sheet1!$B$1</c:f>
              <c:strCache>
                <c:ptCount val="1"/>
                <c:pt idx="0">
                  <c:v>江苏</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0.00_);[Red]\(0.00\)</c:formatCode>
                <c:ptCount val="5"/>
                <c:pt idx="0">
                  <c:v>41.7182</c:v>
                </c:pt>
                <c:pt idx="1">
                  <c:v>13.13</c:v>
                </c:pt>
                <c:pt idx="2">
                  <c:v>3.86</c:v>
                </c:pt>
                <c:pt idx="3">
                  <c:v>2.12</c:v>
                </c:pt>
                <c:pt idx="4">
                  <c:v>3.66</c:v>
                </c:pt>
              </c:numCache>
            </c:numRef>
          </c:val>
          <c:smooth val="0"/>
        </c:ser>
        <c:ser>
          <c:idx val="1"/>
          <c:order val="1"/>
          <c:tx>
            <c:strRef>
              <c:f>Sheet1!$C$1</c:f>
              <c:strCache>
                <c:ptCount val="1"/>
                <c:pt idx="0">
                  <c:v>安徽</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0.00_);[Red]\(0.00\)</c:formatCode>
                <c:ptCount val="5"/>
                <c:pt idx="0">
                  <c:v>55.6438</c:v>
                </c:pt>
                <c:pt idx="1">
                  <c:v>23.49</c:v>
                </c:pt>
                <c:pt idx="2">
                  <c:v>5.27</c:v>
                </c:pt>
                <c:pt idx="3">
                  <c:v>0.89</c:v>
                </c:pt>
                <c:pt idx="4">
                  <c:v>1.93</c:v>
                </c:pt>
              </c:numCache>
            </c:numRef>
          </c:val>
          <c:smooth val="0"/>
        </c:ser>
        <c:ser>
          <c:idx val="2"/>
          <c:order val="2"/>
          <c:tx>
            <c:strRef>
              <c:f>Sheet1!$D$1</c:f>
              <c:strCache>
                <c:ptCount val="1"/>
                <c:pt idx="0">
                  <c:v>湖北</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0.00_);[Red]\(0.00\)</c:formatCode>
                <c:ptCount val="5"/>
                <c:pt idx="0">
                  <c:v>281.4958</c:v>
                </c:pt>
                <c:pt idx="1">
                  <c:v>65.09</c:v>
                </c:pt>
                <c:pt idx="2">
                  <c:v>6.98</c:v>
                </c:pt>
                <c:pt idx="3">
                  <c:v>5.58</c:v>
                </c:pt>
                <c:pt idx="4">
                  <c:v>3.94</c:v>
                </c:pt>
              </c:numCache>
            </c:numRef>
          </c:val>
          <c:smooth val="0"/>
        </c:ser>
        <c:ser>
          <c:idx val="3"/>
          <c:order val="3"/>
          <c:tx>
            <c:strRef>
              <c:f>Sheet1!$E$1</c:f>
              <c:strCache>
                <c:ptCount val="1"/>
                <c:pt idx="0">
                  <c:v>湖南</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Sheet1!$E$2:$E$6</c:f>
              <c:numCache>
                <c:formatCode>0.00_);[Red]\(0.00\)</c:formatCode>
                <c:ptCount val="5"/>
                <c:pt idx="0">
                  <c:v>84.9129</c:v>
                </c:pt>
                <c:pt idx="1">
                  <c:v>21.95</c:v>
                </c:pt>
                <c:pt idx="2">
                  <c:v>2.13</c:v>
                </c:pt>
                <c:pt idx="3">
                  <c:v>1.1</c:v>
                </c:pt>
                <c:pt idx="4">
                  <c:v>0.11</c:v>
                </c:pt>
              </c:numCache>
            </c:numRef>
          </c:val>
          <c:smooth val="0"/>
        </c:ser>
        <c:dLbls>
          <c:showLegendKey val="0"/>
          <c:showVal val="0"/>
          <c:showCatName val="0"/>
          <c:showSerName val="0"/>
          <c:showPercent val="0"/>
          <c:showBubbleSize val="0"/>
        </c:dLbls>
        <c:marker val="1"/>
        <c:smooth val="0"/>
        <c:axId val="167424512"/>
        <c:axId val="54492480"/>
      </c:lineChart>
      <c:catAx>
        <c:axId val="1674245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492480"/>
        <c:crosses val="autoZero"/>
        <c:auto val="1"/>
        <c:lblAlgn val="ctr"/>
        <c:lblOffset val="100"/>
        <c:noMultiLvlLbl val="0"/>
      </c:catAx>
      <c:valAx>
        <c:axId val="54492480"/>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endParaRPr lang="zh-CN" altLang="en-US"/>
              </a:p>
            </c:rich>
          </c:tx>
          <c:layout/>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42451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1-3-2 2013/2014</a:t>
            </a:r>
            <a:r>
              <a:rPr lang="zh-CN" altLang="zh-CN" sz="1100" b="1">
                <a:effectLst/>
                <a:latin typeface="+mn-ea"/>
                <a:ea typeface="+mn-ea"/>
              </a:rPr>
              <a:t>年度</a:t>
            </a:r>
            <a:r>
              <a:rPr lang="en-US" altLang="zh-CN" sz="1100" b="1">
                <a:effectLst/>
                <a:latin typeface="+mn-ea"/>
                <a:ea typeface="+mn-ea"/>
              </a:rPr>
              <a:t>-2017/2018</a:t>
            </a:r>
            <a:r>
              <a:rPr lang="zh-CN" altLang="zh-CN" sz="1100" b="1">
                <a:effectLst/>
                <a:latin typeface="+mn-ea"/>
                <a:ea typeface="+mn-ea"/>
              </a:rPr>
              <a:t>年度黄河流域棉区</a:t>
            </a:r>
            <a:endParaRPr lang="zh-CN" altLang="zh-CN" sz="1100">
              <a:effectLst/>
              <a:latin typeface="+mn-ea"/>
              <a:ea typeface="+mn-ea"/>
            </a:endParaRPr>
          </a:p>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各产棉省份检验数量变化趋势图</a:t>
            </a:r>
            <a:endParaRPr lang="zh-CN" altLang="en-US" sz="1100">
              <a:latin typeface="+mn-ea"/>
              <a:ea typeface="+mn-ea"/>
            </a:endParaRPr>
          </a:p>
        </c:rich>
      </c:tx>
      <c:layout>
        <c:manualLayout>
          <c:xMode val="edge"/>
          <c:yMode val="edge"/>
          <c:x val="0.244090269241847"/>
          <c:y val="0.863466774597101"/>
        </c:manualLayout>
      </c:layout>
      <c:overlay val="1"/>
    </c:title>
    <c:autoTitleDeleted val="0"/>
    <c:plotArea>
      <c:layout>
        <c:manualLayout>
          <c:layoutTarget val="inner"/>
          <c:xMode val="edge"/>
          <c:yMode val="edge"/>
          <c:x val="0.15423390005152"/>
          <c:y val="0.035981308411215"/>
          <c:w val="0.820727460072128"/>
          <c:h val="0.570093457943925"/>
        </c:manualLayout>
      </c:layout>
      <c:lineChart>
        <c:grouping val="standard"/>
        <c:varyColors val="0"/>
        <c:ser>
          <c:idx val="0"/>
          <c:order val="0"/>
          <c:tx>
            <c:strRef>
              <c:f>Sheet1!$B$1</c:f>
              <c:strCache>
                <c:ptCount val="1"/>
                <c:pt idx="0">
                  <c:v>天津</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0.00_);[Red]\(0.00\)</c:formatCode>
                <c:ptCount val="5"/>
                <c:pt idx="0">
                  <c:v>32.5271</c:v>
                </c:pt>
                <c:pt idx="1">
                  <c:v>5.68</c:v>
                </c:pt>
                <c:pt idx="2">
                  <c:v>0.68</c:v>
                </c:pt>
                <c:pt idx="3">
                  <c:v>0.19</c:v>
                </c:pt>
                <c:pt idx="4">
                  <c:v>1.32</c:v>
                </c:pt>
              </c:numCache>
            </c:numRef>
          </c:val>
          <c:smooth val="0"/>
        </c:ser>
        <c:ser>
          <c:idx val="1"/>
          <c:order val="1"/>
          <c:tx>
            <c:strRef>
              <c:f>Sheet1!$C$1</c:f>
              <c:strCache>
                <c:ptCount val="1"/>
                <c:pt idx="0">
                  <c:v>河北</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0.00_);[Red]\(0.00\)</c:formatCode>
                <c:ptCount val="5"/>
                <c:pt idx="0">
                  <c:v>193.6278</c:v>
                </c:pt>
                <c:pt idx="1">
                  <c:v>94.25</c:v>
                </c:pt>
                <c:pt idx="2">
                  <c:v>38.04</c:v>
                </c:pt>
                <c:pt idx="3">
                  <c:v>17.21</c:v>
                </c:pt>
                <c:pt idx="4">
                  <c:v>26.6</c:v>
                </c:pt>
              </c:numCache>
            </c:numRef>
          </c:val>
          <c:smooth val="0"/>
        </c:ser>
        <c:ser>
          <c:idx val="2"/>
          <c:order val="2"/>
          <c:tx>
            <c:strRef>
              <c:f>Sheet1!$D$1</c:f>
              <c:strCache>
                <c:ptCount val="1"/>
                <c:pt idx="0">
                  <c:v>山东</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0.00_);[Red]\(0.00\)</c:formatCode>
                <c:ptCount val="5"/>
                <c:pt idx="0">
                  <c:v>346.6701</c:v>
                </c:pt>
                <c:pt idx="1">
                  <c:v>161.07</c:v>
                </c:pt>
                <c:pt idx="2">
                  <c:v>69.34</c:v>
                </c:pt>
                <c:pt idx="3">
                  <c:v>47.83</c:v>
                </c:pt>
                <c:pt idx="4">
                  <c:v>71.89</c:v>
                </c:pt>
              </c:numCache>
            </c:numRef>
          </c:val>
          <c:smooth val="0"/>
        </c:ser>
        <c:dLbls>
          <c:showLegendKey val="0"/>
          <c:showVal val="0"/>
          <c:showCatName val="0"/>
          <c:showSerName val="0"/>
          <c:showPercent val="0"/>
          <c:showBubbleSize val="0"/>
        </c:dLbls>
        <c:marker val="1"/>
        <c:smooth val="0"/>
        <c:axId val="167483904"/>
        <c:axId val="165971072"/>
      </c:lineChart>
      <c:catAx>
        <c:axId val="1674839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71072"/>
        <c:crosses val="autoZero"/>
        <c:auto val="1"/>
        <c:lblAlgn val="ctr"/>
        <c:lblOffset val="100"/>
        <c:noMultiLvlLbl val="0"/>
      </c:catAx>
      <c:valAx>
        <c:axId val="165971072"/>
        <c:scaling>
          <c:orientation val="minMax"/>
          <c:max val="350"/>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endParaRPr lang="zh-CN" altLang="en-US"/>
              </a:p>
            </c:rich>
          </c:tx>
          <c:layout/>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48390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1-3-3 2013/2014</a:t>
            </a:r>
            <a:r>
              <a:rPr lang="zh-CN" altLang="zh-CN" sz="1100" b="1">
                <a:effectLst/>
                <a:latin typeface="+mn-ea"/>
                <a:ea typeface="+mn-ea"/>
              </a:rPr>
              <a:t>年度</a:t>
            </a:r>
            <a:r>
              <a:rPr lang="en-US" altLang="zh-CN" sz="1100" b="1">
                <a:effectLst/>
                <a:latin typeface="+mn-ea"/>
                <a:ea typeface="+mn-ea"/>
              </a:rPr>
              <a:t>-2017/2018</a:t>
            </a:r>
            <a:r>
              <a:rPr lang="zh-CN" altLang="zh-CN" sz="1100" b="1">
                <a:effectLst/>
                <a:latin typeface="+mn-ea"/>
                <a:ea typeface="+mn-ea"/>
              </a:rPr>
              <a:t>年度西北内陆棉区</a:t>
            </a:r>
            <a:endParaRPr lang="zh-CN" altLang="zh-CN" sz="1100">
              <a:effectLst/>
              <a:latin typeface="+mn-ea"/>
              <a:ea typeface="+mn-ea"/>
            </a:endParaRPr>
          </a:p>
          <a:p>
            <a:pPr algn="ctr">
              <a:defRPr lang="zh-CN" sz="1800" b="1" i="0" u="none" strike="noStrike" kern="1200" baseline="0">
                <a:solidFill>
                  <a:schemeClr val="tx1"/>
                </a:solidFill>
                <a:latin typeface="+mn-lt"/>
                <a:ea typeface="+mn-ea"/>
                <a:cs typeface="+mn-cs"/>
              </a:defRPr>
            </a:pPr>
            <a:r>
              <a:rPr lang="zh-CN" altLang="zh-CN" sz="1100" b="1">
                <a:effectLst/>
                <a:latin typeface="+mn-ea"/>
                <a:ea typeface="+mn-ea"/>
              </a:rPr>
              <a:t>各产棉省份检验数量变化趋势图</a:t>
            </a:r>
            <a:endParaRPr lang="zh-CN" altLang="zh-CN" sz="1100">
              <a:effectLst/>
              <a:latin typeface="+mn-ea"/>
              <a:ea typeface="+mn-ea"/>
            </a:endParaRPr>
          </a:p>
        </c:rich>
      </c:tx>
      <c:layout>
        <c:manualLayout>
          <c:xMode val="edge"/>
          <c:yMode val="edge"/>
          <c:x val="0.264009826515588"/>
          <c:y val="0.873956447086765"/>
        </c:manualLayout>
      </c:layout>
      <c:overlay val="1"/>
    </c:title>
    <c:autoTitleDeleted val="0"/>
    <c:plotArea>
      <c:layout>
        <c:manualLayout>
          <c:layoutTarget val="inner"/>
          <c:xMode val="edge"/>
          <c:yMode val="edge"/>
          <c:x val="0.194444444444444"/>
          <c:y val="0.0440576177977753"/>
          <c:w val="0.780092592592593"/>
          <c:h val="0.497597175353081"/>
        </c:manualLayout>
      </c:layout>
      <c:lineChart>
        <c:grouping val="standard"/>
        <c:varyColors val="0"/>
        <c:ser>
          <c:idx val="0"/>
          <c:order val="0"/>
          <c:tx>
            <c:strRef>
              <c:f>Sheet1!$B$1</c:f>
              <c:strCache>
                <c:ptCount val="1"/>
                <c:pt idx="0">
                  <c:v>甘肃</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0.00_);[Red]\(0.00\)</c:formatCode>
                <c:ptCount val="5"/>
                <c:pt idx="0">
                  <c:v>48.8098</c:v>
                </c:pt>
                <c:pt idx="1">
                  <c:v>35.39</c:v>
                </c:pt>
                <c:pt idx="2">
                  <c:v>13.33</c:v>
                </c:pt>
                <c:pt idx="3" c:formatCode="General">
                  <c:v>6.15</c:v>
                </c:pt>
                <c:pt idx="4" c:formatCode="General">
                  <c:v>17.26</c:v>
                </c:pt>
              </c:numCache>
            </c:numRef>
          </c:val>
          <c:smooth val="0"/>
        </c:ser>
        <c:ser>
          <c:idx val="1"/>
          <c:order val="1"/>
          <c:tx>
            <c:strRef>
              <c:f>Sheet1!$C$1</c:f>
              <c:strCache>
                <c:ptCount val="1"/>
                <c:pt idx="0">
                  <c:v>新疆地方</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0.00_);[Red]\(0.00\)</c:formatCode>
                <c:ptCount val="5"/>
                <c:pt idx="0">
                  <c:v>1348.1318</c:v>
                </c:pt>
                <c:pt idx="1">
                  <c:v>1096.1</c:v>
                </c:pt>
                <c:pt idx="2">
                  <c:v>816.73</c:v>
                </c:pt>
                <c:pt idx="3" c:formatCode="General">
                  <c:v>1112.48</c:v>
                </c:pt>
                <c:pt idx="4" c:formatCode="General">
                  <c:v>1503.06</c:v>
                </c:pt>
              </c:numCache>
            </c:numRef>
          </c:val>
          <c:smooth val="0"/>
        </c:ser>
        <c:ser>
          <c:idx val="2"/>
          <c:order val="2"/>
          <c:tx>
            <c:strRef>
              <c:f>Sheet1!$D$1</c:f>
              <c:strCache>
                <c:ptCount val="1"/>
                <c:pt idx="0">
                  <c:v>新疆兵团</c:v>
                </c:pt>
              </c:strCache>
            </c:strRef>
          </c:tx>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0.00_);[Red]\(0.00\)</c:formatCode>
                <c:ptCount val="5"/>
                <c:pt idx="0">
                  <c:v>724.9323</c:v>
                </c:pt>
                <c:pt idx="1">
                  <c:v>743.07</c:v>
                </c:pt>
                <c:pt idx="2">
                  <c:v>626.52</c:v>
                </c:pt>
                <c:pt idx="3" c:formatCode="General">
                  <c:v>565.38</c:v>
                </c:pt>
                <c:pt idx="4" c:formatCode="General">
                  <c:v>672.87</c:v>
                </c:pt>
              </c:numCache>
            </c:numRef>
          </c:val>
          <c:smooth val="0"/>
        </c:ser>
        <c:dLbls>
          <c:showLegendKey val="0"/>
          <c:showVal val="0"/>
          <c:showCatName val="0"/>
          <c:showSerName val="0"/>
          <c:showPercent val="0"/>
          <c:showBubbleSize val="0"/>
        </c:dLbls>
        <c:marker val="1"/>
        <c:smooth val="0"/>
        <c:axId val="167426048"/>
        <c:axId val="165972800"/>
      </c:lineChart>
      <c:catAx>
        <c:axId val="1674260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72800"/>
        <c:crosses val="autoZero"/>
        <c:auto val="1"/>
        <c:lblAlgn val="ctr"/>
        <c:lblOffset val="100"/>
        <c:noMultiLvlLbl val="0"/>
      </c:catAx>
      <c:valAx>
        <c:axId val="165972800"/>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endParaRPr lang="zh-CN" altLang="en-US"/>
              </a:p>
            </c:rich>
          </c:tx>
          <c:layout/>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42604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2-1 2017/2018</a:t>
            </a:r>
            <a:r>
              <a:rPr lang="zh-CN" altLang="zh-CN" sz="1100" b="1" i="0" u="none" strike="noStrike" baseline="0">
                <a:effectLst/>
                <a:latin typeface="+mn-ea"/>
                <a:ea typeface="+mn-ea"/>
              </a:rPr>
              <a:t>年度三大产棉区颜色级占比分布情况对比图</a:t>
            </a:r>
            <a:endParaRPr lang="zh-CN" altLang="en-US" sz="1100">
              <a:latin typeface="+mn-ea"/>
              <a:ea typeface="+mn-ea"/>
            </a:endParaRPr>
          </a:p>
        </c:rich>
      </c:tx>
      <c:layout>
        <c:manualLayout>
          <c:xMode val="edge"/>
          <c:yMode val="edge"/>
          <c:x val="0.169016112569262"/>
          <c:y val="0.928571428571429"/>
        </c:manualLayout>
      </c:layout>
      <c:overlay val="1"/>
    </c:title>
    <c:autoTitleDeleted val="0"/>
    <c:plotArea>
      <c:layout>
        <c:manualLayout>
          <c:layoutTarget val="inner"/>
          <c:xMode val="edge"/>
          <c:yMode val="edge"/>
          <c:x val="0.210612241178186"/>
          <c:y val="0.0440576177977753"/>
          <c:w val="0.763924795858851"/>
          <c:h val="0.593989700654507"/>
        </c:manualLayout>
      </c:layout>
      <c:barChart>
        <c:barDir val="col"/>
        <c:grouping val="percentStacked"/>
        <c:varyColors val="0"/>
        <c:ser>
          <c:idx val="0"/>
          <c:order val="0"/>
          <c:tx>
            <c:strRef>
              <c:f>Sheet1!$B$1</c:f>
              <c:strCache>
                <c:ptCount val="1"/>
                <c:pt idx="0">
                  <c:v>白棉占比</c:v>
                </c:pt>
              </c:strCache>
            </c:strRef>
          </c:tx>
          <c:invertIfNegative val="0"/>
          <c:dLbls>
            <c:delete val="1"/>
          </c:dLbls>
          <c:cat>
            <c:strRef>
              <c:f>Sheet1!$A$2:$A$4</c:f>
              <c:strCache>
                <c:ptCount val="3"/>
                <c:pt idx="0">
                  <c:v>长江流域棉区</c:v>
                </c:pt>
                <c:pt idx="1">
                  <c:v>黄河流域棉区</c:v>
                </c:pt>
                <c:pt idx="2">
                  <c:v>西北内陆棉区</c:v>
                </c:pt>
              </c:strCache>
            </c:strRef>
          </c:cat>
          <c:val>
            <c:numRef>
              <c:f>Sheet1!$B$2:$B$4</c:f>
              <c:numCache>
                <c:formatCode>0.00%</c:formatCode>
                <c:ptCount val="3"/>
                <c:pt idx="0">
                  <c:v>0.1751</c:v>
                </c:pt>
                <c:pt idx="1">
                  <c:v>0.4627</c:v>
                </c:pt>
                <c:pt idx="2">
                  <c:v>0.9817</c:v>
                </c:pt>
              </c:numCache>
            </c:numRef>
          </c:val>
        </c:ser>
        <c:ser>
          <c:idx val="1"/>
          <c:order val="1"/>
          <c:tx>
            <c:strRef>
              <c:f>Sheet1!$C$1</c:f>
              <c:strCache>
                <c:ptCount val="1"/>
                <c:pt idx="0">
                  <c:v>淡点污棉占比</c:v>
                </c:pt>
              </c:strCache>
            </c:strRef>
          </c:tx>
          <c:invertIfNegative val="0"/>
          <c:dLbls>
            <c:delete val="1"/>
          </c:dLbls>
          <c:cat>
            <c:strRef>
              <c:f>Sheet1!$A$2:$A$4</c:f>
              <c:strCache>
                <c:ptCount val="3"/>
                <c:pt idx="0">
                  <c:v>长江流域棉区</c:v>
                </c:pt>
                <c:pt idx="1">
                  <c:v>黄河流域棉区</c:v>
                </c:pt>
                <c:pt idx="2">
                  <c:v>西北内陆棉区</c:v>
                </c:pt>
              </c:strCache>
            </c:strRef>
          </c:cat>
          <c:val>
            <c:numRef>
              <c:f>Sheet1!$C$2:$C$4</c:f>
              <c:numCache>
                <c:formatCode>0.00%</c:formatCode>
                <c:ptCount val="3"/>
                <c:pt idx="0">
                  <c:v>0.6662</c:v>
                </c:pt>
                <c:pt idx="1">
                  <c:v>0.5105</c:v>
                </c:pt>
                <c:pt idx="2">
                  <c:v>0.0151</c:v>
                </c:pt>
              </c:numCache>
            </c:numRef>
          </c:val>
        </c:ser>
        <c:ser>
          <c:idx val="2"/>
          <c:order val="2"/>
          <c:tx>
            <c:strRef>
              <c:f>Sheet1!$D$1</c:f>
              <c:strCache>
                <c:ptCount val="1"/>
                <c:pt idx="0">
                  <c:v>淡黄染棉占比</c:v>
                </c:pt>
              </c:strCache>
            </c:strRef>
          </c:tx>
          <c:invertIfNegative val="0"/>
          <c:dLbls>
            <c:delete val="1"/>
          </c:dLbls>
          <c:cat>
            <c:strRef>
              <c:f>Sheet1!$A$2:$A$4</c:f>
              <c:strCache>
                <c:ptCount val="3"/>
                <c:pt idx="0">
                  <c:v>长江流域棉区</c:v>
                </c:pt>
                <c:pt idx="1">
                  <c:v>黄河流域棉区</c:v>
                </c:pt>
                <c:pt idx="2">
                  <c:v>西北内陆棉区</c:v>
                </c:pt>
              </c:strCache>
            </c:strRef>
          </c:cat>
          <c:val>
            <c:numRef>
              <c:f>Sheet1!$D$2:$D$4</c:f>
              <c:numCache>
                <c:formatCode>0.00%</c:formatCode>
                <c:ptCount val="3"/>
                <c:pt idx="0">
                  <c:v>0.1583</c:v>
                </c:pt>
                <c:pt idx="1">
                  <c:v>0.0222</c:v>
                </c:pt>
                <c:pt idx="2">
                  <c:v>0.0029</c:v>
                </c:pt>
              </c:numCache>
            </c:numRef>
          </c:val>
        </c:ser>
        <c:ser>
          <c:idx val="3"/>
          <c:order val="3"/>
          <c:tx>
            <c:strRef>
              <c:f>Sheet1!$E$1</c:f>
              <c:strCache>
                <c:ptCount val="1"/>
                <c:pt idx="0">
                  <c:v>黄染棉占比</c:v>
                </c:pt>
              </c:strCache>
            </c:strRef>
          </c:tx>
          <c:invertIfNegative val="0"/>
          <c:dLbls>
            <c:delete val="1"/>
          </c:dLbls>
          <c:cat>
            <c:strRef>
              <c:f>Sheet1!$A$2:$A$4</c:f>
              <c:strCache>
                <c:ptCount val="3"/>
                <c:pt idx="0">
                  <c:v>长江流域棉区</c:v>
                </c:pt>
                <c:pt idx="1">
                  <c:v>黄河流域棉区</c:v>
                </c:pt>
                <c:pt idx="2">
                  <c:v>西北内陆棉区</c:v>
                </c:pt>
              </c:strCache>
            </c:strRef>
          </c:cat>
          <c:val>
            <c:numRef>
              <c:f>Sheet1!$E$2:$E$4</c:f>
              <c:numCache>
                <c:formatCode>0.00%</c:formatCode>
                <c:ptCount val="3"/>
                <c:pt idx="0">
                  <c:v>0.000359518</c:v>
                </c:pt>
                <c:pt idx="1">
                  <c:v>0.00460487</c:v>
                </c:pt>
                <c:pt idx="2">
                  <c:v>0.0003</c:v>
                </c:pt>
              </c:numCache>
            </c:numRef>
          </c:val>
        </c:ser>
        <c:dLbls>
          <c:showLegendKey val="0"/>
          <c:showVal val="0"/>
          <c:showCatName val="0"/>
          <c:showSerName val="0"/>
          <c:showPercent val="0"/>
          <c:showBubbleSize val="0"/>
        </c:dLbls>
        <c:gapWidth val="95"/>
        <c:overlap val="100"/>
        <c:axId val="165931520"/>
        <c:axId val="165973952"/>
      </c:barChart>
      <c:catAx>
        <c:axId val="16593152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73952"/>
        <c:crosses val="autoZero"/>
        <c:auto val="1"/>
        <c:lblAlgn val="ctr"/>
        <c:lblOffset val="100"/>
        <c:noMultiLvlLbl val="0"/>
      </c:catAx>
      <c:valAx>
        <c:axId val="165973952"/>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3152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2-2 2013/2014</a:t>
            </a:r>
            <a:r>
              <a:rPr lang="zh-CN" altLang="zh-CN" sz="1100" b="1" i="0" u="none" strike="noStrike" baseline="0">
                <a:effectLst/>
                <a:latin typeface="+mn-ea"/>
                <a:ea typeface="+mn-ea"/>
              </a:rPr>
              <a:t>年度</a:t>
            </a:r>
            <a:r>
              <a:rPr lang="en-US" altLang="zh-CN" sz="1100" b="1" i="0" u="none" strike="noStrike" baseline="0">
                <a:effectLst/>
                <a:latin typeface="+mn-ea"/>
                <a:ea typeface="+mn-ea"/>
              </a:rPr>
              <a:t>-2017/2018</a:t>
            </a:r>
            <a:r>
              <a:rPr lang="zh-CN" altLang="zh-CN" sz="1100" b="1" i="0" u="none" strike="noStrike" baseline="0">
                <a:effectLst/>
                <a:latin typeface="+mn-ea"/>
                <a:ea typeface="+mn-ea"/>
              </a:rPr>
              <a:t>年度全国</a:t>
            </a:r>
            <a:r>
              <a:rPr lang="zh-CN" altLang="en-US" sz="1100" b="1" i="0" u="none" strike="noStrike" baseline="0">
                <a:effectLst/>
                <a:latin typeface="+mn-ea"/>
                <a:ea typeface="+mn-ea"/>
              </a:rPr>
              <a:t>颜色级占比变化图</a:t>
            </a:r>
            <a:endParaRPr lang="zh-CN" altLang="en-US" sz="1100">
              <a:latin typeface="+mn-ea"/>
              <a:ea typeface="+mn-ea"/>
            </a:endParaRPr>
          </a:p>
        </c:rich>
      </c:tx>
      <c:layout>
        <c:manualLayout>
          <c:xMode val="edge"/>
          <c:yMode val="edge"/>
          <c:x val="0.169814814814815"/>
          <c:y val="0.953815261044176"/>
        </c:manualLayout>
      </c:layout>
      <c:overlay val="0"/>
    </c:title>
    <c:autoTitleDeleted val="0"/>
    <c:plotArea>
      <c:layout>
        <c:manualLayout>
          <c:layoutTarget val="inner"/>
          <c:xMode val="edge"/>
          <c:yMode val="edge"/>
          <c:x val="0.203829833770779"/>
          <c:y val="0.00980324447395883"/>
          <c:w val="0.788461832895888"/>
          <c:h val="0.561205957689024"/>
        </c:manualLayout>
      </c:layout>
      <c:barChart>
        <c:barDir val="col"/>
        <c:grouping val="percentStacked"/>
        <c:varyColors val="0"/>
        <c:ser>
          <c:idx val="0"/>
          <c:order val="0"/>
          <c:tx>
            <c:strRef>
              <c:f>Sheet1!$B$1</c:f>
              <c:strCache>
                <c:ptCount val="1"/>
                <c:pt idx="0">
                  <c:v>白棉1级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0.0%</c:formatCode>
                <c:ptCount val="5"/>
                <c:pt idx="0">
                  <c:v>0.1013</c:v>
                </c:pt>
                <c:pt idx="1">
                  <c:v>0.0381</c:v>
                </c:pt>
                <c:pt idx="2">
                  <c:v>0.0309289305419992</c:v>
                </c:pt>
                <c:pt idx="3">
                  <c:v>0.011</c:v>
                </c:pt>
                <c:pt idx="4">
                  <c:v>0.028</c:v>
                </c:pt>
              </c:numCache>
            </c:numRef>
          </c:val>
        </c:ser>
        <c:ser>
          <c:idx val="1"/>
          <c:order val="1"/>
          <c:tx>
            <c:strRef>
              <c:f>Sheet1!$C$1</c:f>
              <c:strCache>
                <c:ptCount val="1"/>
                <c:pt idx="0">
                  <c:v>白棉2级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c:formatCode>
                <c:ptCount val="5"/>
                <c:pt idx="0">
                  <c:v>0.3418</c:v>
                </c:pt>
                <c:pt idx="1">
                  <c:v>0.3208</c:v>
                </c:pt>
                <c:pt idx="2">
                  <c:v>0.362083199119824</c:v>
                </c:pt>
                <c:pt idx="3">
                  <c:v>0.219</c:v>
                </c:pt>
                <c:pt idx="4">
                  <c:v>0.318</c:v>
                </c:pt>
              </c:numCache>
            </c:numRef>
          </c:val>
        </c:ser>
        <c:ser>
          <c:idx val="2"/>
          <c:order val="2"/>
          <c:tx>
            <c:strRef>
              <c:f>Sheet1!$D$1</c:f>
              <c:strCache>
                <c:ptCount val="1"/>
                <c:pt idx="0">
                  <c:v>白棉3级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c:formatCode>
                <c:ptCount val="5"/>
                <c:pt idx="0">
                  <c:v>0.3203</c:v>
                </c:pt>
                <c:pt idx="1">
                  <c:v>0.4874</c:v>
                </c:pt>
                <c:pt idx="2">
                  <c:v>0.49567488306961</c:v>
                </c:pt>
                <c:pt idx="3">
                  <c:v>0.633</c:v>
                </c:pt>
                <c:pt idx="4">
                  <c:v>0.547</c:v>
                </c:pt>
              </c:numCache>
            </c:numRef>
          </c:val>
        </c:ser>
        <c:ser>
          <c:idx val="3"/>
          <c:order val="3"/>
          <c:tx>
            <c:strRef>
              <c:f>Sheet1!$E$1</c:f>
              <c:strCache>
                <c:ptCount val="1"/>
                <c:pt idx="0">
                  <c:v>白棉4级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Sheet1!$E$2:$E$6</c:f>
              <c:numCache>
                <c:formatCode>0.0%</c:formatCode>
                <c:ptCount val="5"/>
                <c:pt idx="0">
                  <c:v>0.0278</c:v>
                </c:pt>
                <c:pt idx="1">
                  <c:v>0.0423</c:v>
                </c:pt>
                <c:pt idx="2">
                  <c:v>0.0701031846676021</c:v>
                </c:pt>
                <c:pt idx="3">
                  <c:v>0.084</c:v>
                </c:pt>
                <c:pt idx="4">
                  <c:v>0.062</c:v>
                </c:pt>
              </c:numCache>
            </c:numRef>
          </c:val>
        </c:ser>
        <c:ser>
          <c:idx val="4"/>
          <c:order val="4"/>
          <c:tx>
            <c:strRef>
              <c:f>Sheet1!$F$1</c:f>
              <c:strCache>
                <c:ptCount val="1"/>
                <c:pt idx="0">
                  <c:v>白棉5级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Sheet1!$F$2:$F$6</c:f>
              <c:numCache>
                <c:formatCode>0.0%</c:formatCode>
                <c:ptCount val="5"/>
                <c:pt idx="0">
                  <c:v>0.0003</c:v>
                </c:pt>
                <c:pt idx="1">
                  <c:v>0.0008</c:v>
                </c:pt>
                <c:pt idx="2">
                  <c:v>0.000454716862668474</c:v>
                </c:pt>
                <c:pt idx="3">
                  <c:v>0.001</c:v>
                </c:pt>
                <c:pt idx="4">
                  <c:v>0</c:v>
                </c:pt>
              </c:numCache>
            </c:numRef>
          </c:val>
        </c:ser>
        <c:ser>
          <c:idx val="5"/>
          <c:order val="5"/>
          <c:tx>
            <c:strRef>
              <c:f>Sheet1!$G$1</c:f>
              <c:strCache>
                <c:ptCount val="1"/>
                <c:pt idx="0">
                  <c:v>淡点污棉1级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Sheet1!$G$2:$G$6</c:f>
              <c:numCache>
                <c:formatCode>0.0%</c:formatCode>
                <c:ptCount val="5"/>
                <c:pt idx="0">
                  <c:v>0.0519</c:v>
                </c:pt>
                <c:pt idx="1">
                  <c:v>0.0533</c:v>
                </c:pt>
                <c:pt idx="2">
                  <c:v>0.0159934764242222</c:v>
                </c:pt>
                <c:pt idx="3">
                  <c:v>0.015</c:v>
                </c:pt>
                <c:pt idx="4">
                  <c:v>0.015</c:v>
                </c:pt>
              </c:numCache>
            </c:numRef>
          </c:val>
        </c:ser>
        <c:ser>
          <c:idx val="6"/>
          <c:order val="6"/>
          <c:tx>
            <c:strRef>
              <c:f>Sheet1!$H$1</c:f>
              <c:strCache>
                <c:ptCount val="1"/>
                <c:pt idx="0">
                  <c:v>淡点污棉2级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Sheet1!$H$2:$H$6</c:f>
              <c:numCache>
                <c:formatCode>0.0%</c:formatCode>
                <c:ptCount val="5"/>
                <c:pt idx="0">
                  <c:v>0.1397</c:v>
                </c:pt>
                <c:pt idx="1">
                  <c:v>0.0357</c:v>
                </c:pt>
                <c:pt idx="2">
                  <c:v>0.0132614669273403</c:v>
                </c:pt>
                <c:pt idx="3">
                  <c:v>0.018</c:v>
                </c:pt>
                <c:pt idx="4">
                  <c:v>0.016</c:v>
                </c:pt>
              </c:numCache>
            </c:numRef>
          </c:val>
        </c:ser>
        <c:ser>
          <c:idx val="7"/>
          <c:order val="7"/>
          <c:tx>
            <c:strRef>
              <c:f>Sheet1!$I$1</c:f>
              <c:strCache>
                <c:ptCount val="1"/>
                <c:pt idx="0">
                  <c:v>淡点污棉3级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Sheet1!$I$2:$I$6</c:f>
              <c:numCache>
                <c:formatCode>0.0%</c:formatCode>
                <c:ptCount val="5"/>
                <c:pt idx="0">
                  <c:v>0.0119</c:v>
                </c:pt>
                <c:pt idx="1">
                  <c:v>0.0141</c:v>
                </c:pt>
                <c:pt idx="2">
                  <c:v>0.00660138657953562</c:v>
                </c:pt>
                <c:pt idx="3">
                  <c:v>0.01</c:v>
                </c:pt>
                <c:pt idx="4">
                  <c:v>0.009</c:v>
                </c:pt>
              </c:numCache>
            </c:numRef>
          </c:val>
        </c:ser>
        <c:ser>
          <c:idx val="8"/>
          <c:order val="8"/>
          <c:tx>
            <c:strRef>
              <c:f>Sheet1!$J$1</c:f>
              <c:strCache>
                <c:ptCount val="1"/>
                <c:pt idx="0">
                  <c:v>淡黄染棉1级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Sheet1!$J$2:$J$6</c:f>
              <c:numCache>
                <c:formatCode>0.0%</c:formatCode>
                <c:ptCount val="5"/>
                <c:pt idx="0">
                  <c:v>0.0012</c:v>
                </c:pt>
                <c:pt idx="1">
                  <c:v>0.0045</c:v>
                </c:pt>
                <c:pt idx="2">
                  <c:v>0.00154387627711694</c:v>
                </c:pt>
                <c:pt idx="3">
                  <c:v>0.002</c:v>
                </c:pt>
                <c:pt idx="4">
                  <c:v>0.001</c:v>
                </c:pt>
              </c:numCache>
            </c:numRef>
          </c:val>
        </c:ser>
        <c:ser>
          <c:idx val="9"/>
          <c:order val="9"/>
          <c:tx>
            <c:strRef>
              <c:f>Sheet1!$K$1</c:f>
              <c:strCache>
                <c:ptCount val="1"/>
                <c:pt idx="0">
                  <c:v>淡黄染棉2级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Sheet1!$K$2:$K$6</c:f>
              <c:numCache>
                <c:formatCode>0.0%</c:formatCode>
                <c:ptCount val="5"/>
                <c:pt idx="0">
                  <c:v>0.0023</c:v>
                </c:pt>
                <c:pt idx="1">
                  <c:v>0.0015</c:v>
                </c:pt>
                <c:pt idx="2">
                  <c:v>0.00110380088823236</c:v>
                </c:pt>
                <c:pt idx="3">
                  <c:v>0.003</c:v>
                </c:pt>
                <c:pt idx="4">
                  <c:v>0.001</c:v>
                </c:pt>
              </c:numCache>
            </c:numRef>
          </c:val>
        </c:ser>
        <c:ser>
          <c:idx val="10"/>
          <c:order val="10"/>
          <c:tx>
            <c:strRef>
              <c:f>Sheet1!$L$1</c:f>
              <c:strCache>
                <c:ptCount val="1"/>
                <c:pt idx="0">
                  <c:v>淡黄染棉3级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Sheet1!$L$2:$L$6</c:f>
              <c:numCache>
                <c:formatCode>0.0%</c:formatCode>
                <c:ptCount val="5"/>
                <c:pt idx="0">
                  <c:v>0.0012</c:v>
                </c:pt>
                <c:pt idx="1">
                  <c:v>0.0012</c:v>
                </c:pt>
                <c:pt idx="2">
                  <c:v>0.00186183282352446</c:v>
                </c:pt>
                <c:pt idx="3">
                  <c:v>0.005</c:v>
                </c:pt>
                <c:pt idx="4">
                  <c:v>0.002</c:v>
                </c:pt>
              </c:numCache>
            </c:numRef>
          </c:val>
        </c:ser>
        <c:ser>
          <c:idx val="11"/>
          <c:order val="11"/>
          <c:tx>
            <c:strRef>
              <c:f>Sheet1!$M$1</c:f>
              <c:strCache>
                <c:ptCount val="1"/>
                <c:pt idx="0">
                  <c:v>黄染棉1级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Sheet1!$M$2:$M$6</c:f>
              <c:numCache>
                <c:formatCode>0.0%</c:formatCode>
                <c:ptCount val="5"/>
                <c:pt idx="0">
                  <c:v>0</c:v>
                </c:pt>
                <c:pt idx="1">
                  <c:v>0</c:v>
                </c:pt>
                <c:pt idx="2">
                  <c:v>1.02298506787058e-5</c:v>
                </c:pt>
                <c:pt idx="3">
                  <c:v>0</c:v>
                </c:pt>
                <c:pt idx="4">
                  <c:v>0</c:v>
                </c:pt>
              </c:numCache>
            </c:numRef>
          </c:val>
        </c:ser>
        <c:ser>
          <c:idx val="12"/>
          <c:order val="12"/>
          <c:tx>
            <c:strRef>
              <c:f>Sheet1!$N$1</c:f>
              <c:strCache>
                <c:ptCount val="1"/>
                <c:pt idx="0">
                  <c:v>黄染棉2级</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Sheet1!$N$2:$N$6</c:f>
              <c:numCache>
                <c:formatCode>0.0%</c:formatCode>
                <c:ptCount val="5"/>
                <c:pt idx="0">
                  <c:v>0.0001</c:v>
                </c:pt>
                <c:pt idx="1">
                  <c:v>0.0001</c:v>
                </c:pt>
                <c:pt idx="2">
                  <c:v>0.000379015967646051</c:v>
                </c:pt>
                <c:pt idx="3">
                  <c:v>0.001</c:v>
                </c:pt>
                <c:pt idx="4">
                  <c:v>0</c:v>
                </c:pt>
              </c:numCache>
            </c:numRef>
          </c:val>
        </c:ser>
        <c:dLbls>
          <c:showLegendKey val="0"/>
          <c:showVal val="0"/>
          <c:showCatName val="0"/>
          <c:showSerName val="0"/>
          <c:showPercent val="0"/>
          <c:showBubbleSize val="0"/>
        </c:dLbls>
        <c:gapWidth val="95"/>
        <c:overlap val="100"/>
        <c:axId val="165931008"/>
        <c:axId val="165975680"/>
      </c:barChart>
      <c:catAx>
        <c:axId val="1659310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75680"/>
        <c:crosses val="autoZero"/>
        <c:auto val="1"/>
        <c:lblAlgn val="ctr"/>
        <c:lblOffset val="100"/>
        <c:noMultiLvlLbl val="0"/>
      </c:catAx>
      <c:valAx>
        <c:axId val="165975680"/>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3100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2-3 2013/2014</a:t>
            </a:r>
            <a:r>
              <a:rPr lang="zh-CN" altLang="zh-CN" sz="1100" b="1">
                <a:effectLst/>
                <a:latin typeface="+mn-ea"/>
                <a:ea typeface="+mn-ea"/>
              </a:rPr>
              <a:t>年度</a:t>
            </a:r>
            <a:r>
              <a:rPr lang="en-US" altLang="zh-CN" sz="1100" b="1">
                <a:effectLst/>
                <a:latin typeface="+mn-ea"/>
                <a:ea typeface="+mn-ea"/>
              </a:rPr>
              <a:t>-2017/2018</a:t>
            </a:r>
            <a:r>
              <a:rPr lang="zh-CN" altLang="zh-CN" sz="1100" b="1">
                <a:effectLst/>
                <a:latin typeface="+mn-ea"/>
                <a:ea typeface="+mn-ea"/>
              </a:rPr>
              <a:t>年度全国棉花颜色级变化情况图</a:t>
            </a:r>
            <a:endParaRPr lang="zh-CN" altLang="en-US" sz="1100">
              <a:latin typeface="+mn-ea"/>
              <a:ea typeface="+mn-ea"/>
            </a:endParaRPr>
          </a:p>
        </c:rich>
      </c:tx>
      <c:layout>
        <c:manualLayout>
          <c:xMode val="edge"/>
          <c:yMode val="edge"/>
          <c:x val="0.164215435908349"/>
          <c:y val="0.941988660257247"/>
        </c:manualLayout>
      </c:layout>
      <c:overlay val="0"/>
    </c:title>
    <c:autoTitleDeleted val="0"/>
    <c:plotArea>
      <c:layout>
        <c:manualLayout>
          <c:layoutTarget val="inner"/>
          <c:xMode val="edge"/>
          <c:yMode val="edge"/>
          <c:x val="0.262031531531532"/>
          <c:y val="0.0171884591774095"/>
          <c:w val="0.668599099099099"/>
          <c:h val="0.529650092081031"/>
        </c:manualLayout>
      </c:layout>
      <c:barChart>
        <c:barDir val="col"/>
        <c:grouping val="percentStacked"/>
        <c:varyColors val="0"/>
        <c:ser>
          <c:idx val="0"/>
          <c:order val="0"/>
          <c:tx>
            <c:strRef>
              <c:f>Sheet1!$B$1</c:f>
              <c:strCache>
                <c:ptCount val="1"/>
                <c:pt idx="0">
                  <c:v>白棉占比</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Sheet1!$B$2:$B$6</c:f>
              <c:numCache>
                <c:formatCode>0.0%</c:formatCode>
                <c:ptCount val="5"/>
                <c:pt idx="0">
                  <c:v>0.79161208017325</c:v>
                </c:pt>
                <c:pt idx="1">
                  <c:v>0.8895</c:v>
                </c:pt>
                <c:pt idx="2">
                  <c:v>0.9592</c:v>
                </c:pt>
                <c:pt idx="3">
                  <c:v>0.948</c:v>
                </c:pt>
                <c:pt idx="4">
                  <c:v>0.955</c:v>
                </c:pt>
              </c:numCache>
            </c:numRef>
          </c:val>
        </c:ser>
        <c:ser>
          <c:idx val="1"/>
          <c:order val="1"/>
          <c:tx>
            <c:strRef>
              <c:f>Sheet1!$C$1</c:f>
              <c:strCache>
                <c:ptCount val="1"/>
                <c:pt idx="0">
                  <c:v>淡点污棉占比</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Sheet1!$C$2:$C$6</c:f>
              <c:numCache>
                <c:formatCode>0.0%</c:formatCode>
                <c:ptCount val="5"/>
                <c:pt idx="0">
                  <c:v>0.203510344530142</c:v>
                </c:pt>
                <c:pt idx="1">
                  <c:v>0.1032</c:v>
                </c:pt>
                <c:pt idx="2">
                  <c:v>0.0359</c:v>
                </c:pt>
                <c:pt idx="3">
                  <c:v>0.043</c:v>
                </c:pt>
                <c:pt idx="4">
                  <c:v>0.04</c:v>
                </c:pt>
              </c:numCache>
            </c:numRef>
          </c:val>
        </c:ser>
        <c:ser>
          <c:idx val="2"/>
          <c:order val="2"/>
          <c:tx>
            <c:strRef>
              <c:f>Sheet1!$D$1</c:f>
              <c:strCache>
                <c:ptCount val="1"/>
                <c:pt idx="0">
                  <c:v>淡黄染棉占比</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Sheet1!$D$2:$D$6</c:f>
              <c:numCache>
                <c:formatCode>0.0%</c:formatCode>
                <c:ptCount val="5"/>
                <c:pt idx="0">
                  <c:v>0.00474965625775867</c:v>
                </c:pt>
                <c:pt idx="1">
                  <c:v>0.0073</c:v>
                </c:pt>
                <c:pt idx="2">
                  <c:v>0.0045</c:v>
                </c:pt>
                <c:pt idx="3">
                  <c:v>0.01</c:v>
                </c:pt>
                <c:pt idx="4">
                  <c:v>0.004</c:v>
                </c:pt>
              </c:numCache>
            </c:numRef>
          </c:val>
        </c:ser>
        <c:ser>
          <c:idx val="3"/>
          <c:order val="3"/>
          <c:tx>
            <c:strRef>
              <c:f>Sheet1!$E$1</c:f>
              <c:strCache>
                <c:ptCount val="1"/>
                <c:pt idx="0">
                  <c:v>黄染棉占比</c:v>
                </c:pt>
              </c:strCache>
            </c:strRef>
          </c:tx>
          <c:invertIfNegative val="0"/>
          <c:dLbls>
            <c:delete val="1"/>
          </c:dLbls>
          <c:cat>
            <c:strRef>
              <c:f>Sheet1!$A$2:$A$6</c:f>
              <c:strCache>
                <c:ptCount val="5"/>
                <c:pt idx="0">
                  <c:v>2013/2014年度</c:v>
                </c:pt>
                <c:pt idx="1">
                  <c:v>2014/2015年度</c:v>
                </c:pt>
                <c:pt idx="2">
                  <c:v>2015/2016年度</c:v>
                </c:pt>
                <c:pt idx="3">
                  <c:v>2016/2017年度</c:v>
                </c:pt>
                <c:pt idx="4">
                  <c:v>2017/2018年度</c:v>
                </c:pt>
              </c:strCache>
            </c:strRef>
          </c:cat>
          <c:val>
            <c:numRef>
              <c:f>Sheet1!$E$2:$E$6</c:f>
              <c:numCache>
                <c:formatCode>0.0%</c:formatCode>
                <c:ptCount val="5"/>
                <c:pt idx="0">
                  <c:v>0.000127919038849585</c:v>
                </c:pt>
                <c:pt idx="1">
                  <c:v>0.0001</c:v>
                </c:pt>
                <c:pt idx="2">
                  <c:v>0.0004</c:v>
                </c:pt>
                <c:pt idx="3">
                  <c:v>0.001</c:v>
                </c:pt>
                <c:pt idx="4">
                  <c:v>0</c:v>
                </c:pt>
              </c:numCache>
            </c:numRef>
          </c:val>
        </c:ser>
        <c:dLbls>
          <c:showLegendKey val="0"/>
          <c:showVal val="1"/>
          <c:showCatName val="0"/>
          <c:showSerName val="0"/>
          <c:showPercent val="0"/>
          <c:showBubbleSize val="0"/>
        </c:dLbls>
        <c:gapWidth val="95"/>
        <c:overlap val="100"/>
        <c:axId val="166121984"/>
        <c:axId val="165977408"/>
      </c:barChart>
      <c:lineChart>
        <c:grouping val="standard"/>
        <c:varyColors val="0"/>
        <c:ser>
          <c:idx val="4"/>
          <c:order val="4"/>
          <c:tx>
            <c:strRef>
              <c:f>Sheet1!$F$1</c:f>
              <c:strCache>
                <c:ptCount val="1"/>
                <c:pt idx="0">
                  <c:v>白棉平均级</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Sheet1!$F$2:$F$6</c:f>
              <c:numCache>
                <c:formatCode>0.00_ </c:formatCode>
                <c:ptCount val="5"/>
                <c:pt idx="0">
                  <c:v>2.35</c:v>
                </c:pt>
                <c:pt idx="1">
                  <c:v>2.6</c:v>
                </c:pt>
                <c:pt idx="2" c:formatCode="General">
                  <c:v>2.63</c:v>
                </c:pt>
                <c:pt idx="3" c:formatCode="General">
                  <c:v>2.84</c:v>
                </c:pt>
                <c:pt idx="4" c:formatCode="General">
                  <c:v>2.67</c:v>
                </c:pt>
              </c:numCache>
            </c:numRef>
          </c:val>
          <c:smooth val="0"/>
        </c:ser>
        <c:ser>
          <c:idx val="5"/>
          <c:order val="5"/>
          <c:tx>
            <c:strRef>
              <c:f>Sheet1!$G$1</c:f>
              <c:strCache>
                <c:ptCount val="1"/>
                <c:pt idx="0">
                  <c:v>淡点污棉平均级</c:v>
                </c:pt>
              </c:strCache>
            </c:strRef>
          </c:tx>
          <c:dLbls>
            <c:dLbl>
              <c:idx val="0"/>
              <c:layout>
                <c:manualLayout>
                  <c:x val="0.00168918918918919"/>
                  <c:y val="0.064102564102564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8918918918919"/>
                  <c:y val="0.0054945054945054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51282051282051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49450549450549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37837837837838"/>
                  <c:y val="0.056776556776556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Sheet1!$G$2:$G$6</c:f>
              <c:numCache>
                <c:formatCode>0.00_ </c:formatCode>
                <c:ptCount val="5"/>
                <c:pt idx="0">
                  <c:v>1.8</c:v>
                </c:pt>
                <c:pt idx="1">
                  <c:v>1.62</c:v>
                </c:pt>
                <c:pt idx="2" c:formatCode="General">
                  <c:v>1.74</c:v>
                </c:pt>
                <c:pt idx="3" c:formatCode="General">
                  <c:v>1.89</c:v>
                </c:pt>
                <c:pt idx="4" c:formatCode="General">
                  <c:v>1.84</c:v>
                </c:pt>
              </c:numCache>
            </c:numRef>
          </c:val>
          <c:smooth val="0"/>
        </c:ser>
        <c:ser>
          <c:idx val="6"/>
          <c:order val="6"/>
          <c:tx>
            <c:strRef>
              <c:f>Sheet1!$H$1</c:f>
              <c:strCache>
                <c:ptCount val="1"/>
                <c:pt idx="0">
                  <c:v>淡黄染棉平均级</c:v>
                </c:pt>
              </c:strCache>
            </c:strRef>
          </c:tx>
          <c:dLbls>
            <c:dLbl>
              <c:idx val="0"/>
              <c:layout>
                <c:manualLayout>
                  <c:x val="-0.00337837837837838"/>
                  <c:y val="-0.0531135531135531"/>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layout>
                <c:manualLayout>
                  <c:x val="-0.00168918918918919"/>
                  <c:y val="-0.0549450549450549"/>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37837837837838"/>
                  <c:y val="-0.0586080586080586"/>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68918918918919"/>
                  <c:y val="-0.0604395604395604"/>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Sheet1!$H$2:$H$6</c:f>
              <c:numCache>
                <c:formatCode>0.00_ </c:formatCode>
                <c:ptCount val="5"/>
                <c:pt idx="0">
                  <c:v>1.98</c:v>
                </c:pt>
                <c:pt idx="1">
                  <c:v>1.54</c:v>
                </c:pt>
                <c:pt idx="2" c:formatCode="General">
                  <c:v>2.07</c:v>
                </c:pt>
                <c:pt idx="3" c:formatCode="General">
                  <c:v>2.33</c:v>
                </c:pt>
                <c:pt idx="4" c:formatCode="General">
                  <c:v>2.16</c:v>
                </c:pt>
              </c:numCache>
            </c:numRef>
          </c:val>
          <c:smooth val="0"/>
        </c:ser>
        <c:ser>
          <c:idx val="7"/>
          <c:order val="7"/>
          <c:tx>
            <c:strRef>
              <c:f>Sheet1!$I$1</c:f>
              <c:strCache>
                <c:ptCount val="1"/>
                <c:pt idx="0">
                  <c:v>黄染棉平均级</c:v>
                </c:pt>
              </c:strCache>
            </c:strRef>
          </c:tx>
          <c:dLbls>
            <c:dLbl>
              <c:idx val="0"/>
              <c:layout>
                <c:manualLayout>
                  <c:x val="0"/>
                  <c:y val="0.031135531135531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37837837837838"/>
                  <c:y val="0.03296703296703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75675675675676"/>
                  <c:y val="0.016483516483516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4652014652014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2013/2014年度</c:v>
                </c:pt>
                <c:pt idx="1">
                  <c:v>2014/2015年度</c:v>
                </c:pt>
                <c:pt idx="2">
                  <c:v>2015/2016年度</c:v>
                </c:pt>
                <c:pt idx="3">
                  <c:v>2016/2017年度</c:v>
                </c:pt>
                <c:pt idx="4">
                  <c:v>2017/2018年度</c:v>
                </c:pt>
              </c:strCache>
            </c:strRef>
          </c:cat>
          <c:val>
            <c:numRef>
              <c:f>Sheet1!$I$2:$I$6</c:f>
              <c:numCache>
                <c:formatCode>0.00_ </c:formatCode>
                <c:ptCount val="5"/>
                <c:pt idx="0">
                  <c:v>1.9</c:v>
                </c:pt>
                <c:pt idx="1">
                  <c:v>1.9</c:v>
                </c:pt>
                <c:pt idx="2" c:formatCode="General">
                  <c:v>1.97</c:v>
                </c:pt>
                <c:pt idx="3" c:formatCode="General">
                  <c:v>1.99</c:v>
                </c:pt>
                <c:pt idx="4" c:formatCode="General">
                  <c:v>1.92</c:v>
                </c:pt>
              </c:numCache>
            </c:numRef>
          </c:val>
          <c:smooth val="0"/>
        </c:ser>
        <c:dLbls>
          <c:showLegendKey val="0"/>
          <c:showVal val="1"/>
          <c:showCatName val="0"/>
          <c:showSerName val="0"/>
          <c:showPercent val="0"/>
          <c:showBubbleSize val="0"/>
        </c:dLbls>
        <c:marker val="1"/>
        <c:smooth val="0"/>
        <c:axId val="166123008"/>
        <c:axId val="167673856"/>
      </c:lineChart>
      <c:catAx>
        <c:axId val="1661219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77408"/>
        <c:crosses val="autoZero"/>
        <c:auto val="1"/>
        <c:lblAlgn val="ctr"/>
        <c:lblOffset val="100"/>
        <c:noMultiLvlLbl val="0"/>
      </c:catAx>
      <c:valAx>
        <c:axId val="165977408"/>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121984"/>
        <c:crosses val="autoZero"/>
        <c:crossBetween val="between"/>
      </c:valAx>
      <c:catAx>
        <c:axId val="16612300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673856"/>
        <c:crosses val="autoZero"/>
        <c:auto val="1"/>
        <c:lblAlgn val="ctr"/>
        <c:lblOffset val="100"/>
        <c:noMultiLvlLbl val="0"/>
      </c:catAx>
      <c:valAx>
        <c:axId val="167673856"/>
        <c:scaling>
          <c:orientation val="minMax"/>
        </c:scaling>
        <c:delete val="0"/>
        <c:axPos val="r"/>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123008"/>
        <c:crosses val="max"/>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2204</Words>
  <Characters>12566</Characters>
  <Lines>104</Lines>
  <Paragraphs>29</Paragraphs>
  <TotalTime>1</TotalTime>
  <ScaleCrop>false</ScaleCrop>
  <LinksUpToDate>false</LinksUpToDate>
  <CharactersWithSpaces>14741</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2016-10-26T06:07:00Z</dcterms:created>
  <dc:creator>lengyijin</dc:creator>
  <cp:lastModifiedBy>霁菲</cp:lastModifiedBy>
  <cp:lastPrinted>2018-11-19T01:42:00Z</cp:lastPrinted>
  <dcterms:modified xsi:type="dcterms:W3CDTF">2018-12-25T04:51:53Z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