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52"/>
        </w:rPr>
      </w:pPr>
      <w:r>
        <w:rPr>
          <w:rFonts w:hint="eastAsia" w:ascii="方正小标宋简体" w:eastAsia="方正小标宋简体"/>
          <w:sz w:val="52"/>
        </w:rPr>
        <w:t>中国棉花质量分析报告</w:t>
      </w:r>
    </w:p>
    <w:p>
      <w:pPr>
        <w:jc w:val="center"/>
        <w:rPr>
          <w:rFonts w:ascii="方正小标宋简体" w:eastAsia="方正小标宋简体"/>
          <w:sz w:val="44"/>
        </w:rPr>
      </w:pPr>
      <w:r>
        <w:rPr>
          <w:rFonts w:hint="eastAsia" w:ascii="方正小标宋简体" w:eastAsia="方正小标宋简体"/>
          <w:sz w:val="44"/>
        </w:rPr>
        <w:t>（2016/2017年度）</w:t>
      </w: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32"/>
          <w:szCs w:val="32"/>
        </w:rPr>
      </w:pPr>
      <w:r>
        <w:rPr>
          <w:rFonts w:hint="eastAsia" w:ascii="方正小标宋简体" w:eastAsia="方正小标宋简体"/>
          <w:sz w:val="32"/>
          <w:szCs w:val="32"/>
        </w:rPr>
        <w:t>中国纤维检验局</w:t>
      </w:r>
    </w:p>
    <w:p>
      <w:pPr>
        <w:jc w:val="center"/>
        <w:rPr>
          <w:rFonts w:ascii="方正小标宋简体" w:eastAsia="方正小标宋简体"/>
          <w:sz w:val="32"/>
          <w:szCs w:val="32"/>
        </w:rPr>
      </w:pPr>
      <w:r>
        <w:rPr>
          <w:rFonts w:hint="eastAsia" w:ascii="方正小标宋简体" w:eastAsia="方正小标宋简体"/>
          <w:sz w:val="32"/>
          <w:szCs w:val="32"/>
        </w:rPr>
        <w:t>二</w:t>
      </w:r>
      <w:r>
        <w:rPr>
          <w:rFonts w:hint="eastAsia" w:ascii="宋体" w:hAnsi="宋体" w:cs="宋体"/>
          <w:sz w:val="32"/>
          <w:szCs w:val="32"/>
        </w:rPr>
        <w:t>〇</w:t>
      </w:r>
      <w:r>
        <w:rPr>
          <w:rFonts w:hint="eastAsia" w:ascii="方正小标宋简体" w:eastAsia="方正小标宋简体"/>
          <w:sz w:val="32"/>
          <w:szCs w:val="32"/>
        </w:rPr>
        <w:t>一七年十月</w:t>
      </w:r>
    </w:p>
    <w:p>
      <w:pPr>
        <w:widowControl/>
        <w:jc w:val="left"/>
        <w:rPr>
          <w:rFonts w:ascii="方正小标宋简体" w:eastAsia="方正小标宋简体"/>
          <w:sz w:val="44"/>
        </w:rPr>
      </w:pPr>
      <w:r>
        <w:rPr>
          <w:rFonts w:ascii="方正小标宋简体" w:eastAsia="方正小标宋简体"/>
          <w:sz w:val="44"/>
        </w:rPr>
        <w:br w:type="page"/>
      </w:r>
    </w:p>
    <w:sdt>
      <w:sdtPr>
        <w:rPr>
          <w:rFonts w:ascii="Times New Roman" w:hAnsi="Times New Roman" w:eastAsia="宋体" w:cs="Times New Roman"/>
          <w:b w:val="0"/>
          <w:bCs w:val="0"/>
          <w:color w:val="auto"/>
          <w:kern w:val="2"/>
          <w:sz w:val="21"/>
          <w:szCs w:val="24"/>
          <w:lang w:val="zh-CN"/>
        </w:rPr>
        <w:id w:val="966861305"/>
      </w:sdtPr>
      <w:sdtEndPr>
        <w:rPr>
          <w:rFonts w:hint="eastAsia" w:ascii="仿宋_GB2312" w:hAnsi="Times New Roman" w:eastAsia="仿宋_GB2312" w:cs="Times New Roman"/>
          <w:b w:val="0"/>
          <w:bCs w:val="0"/>
          <w:color w:val="auto"/>
          <w:kern w:val="2"/>
          <w:sz w:val="21"/>
          <w:szCs w:val="24"/>
          <w:lang w:val="zh-CN"/>
        </w:rPr>
      </w:sdtEndPr>
      <w:sdtContent>
        <w:p>
          <w:pPr>
            <w:pStyle w:val="22"/>
            <w:spacing w:before="0" w:line="540" w:lineRule="exact"/>
            <w:ind w:firstLine="0" w:firstLineChars="0"/>
            <w:jc w:val="center"/>
            <w:rPr>
              <w:rFonts w:ascii="方正小标宋简体" w:eastAsia="方正小标宋简体"/>
              <w:b w:val="0"/>
              <w:color w:val="auto"/>
              <w:sz w:val="44"/>
              <w:szCs w:val="44"/>
            </w:rPr>
          </w:pPr>
          <w:r>
            <w:rPr>
              <w:rFonts w:hint="eastAsia" w:ascii="方正小标宋简体" w:eastAsia="方正小标宋简体"/>
              <w:b w:val="0"/>
              <w:color w:val="auto"/>
              <w:sz w:val="44"/>
              <w:szCs w:val="44"/>
              <w:lang w:val="zh-CN"/>
            </w:rPr>
            <w:t>目  录</w:t>
          </w:r>
        </w:p>
        <w:p>
          <w:pPr>
            <w:pStyle w:val="7"/>
            <w:tabs>
              <w:tab w:val="right" w:leader="dot" w:pos="8845"/>
              <w:tab w:val="clear" w:pos="8296"/>
            </w:tabs>
            <w:spacing w:line="540" w:lineRule="exact"/>
            <w:rPr>
              <w:sz w:val="30"/>
              <w:szCs w:val="30"/>
            </w:rPr>
          </w:pPr>
          <w:r>
            <w:rPr>
              <w:rFonts w:hint="eastAsia" w:ascii="仿宋_GB2312" w:eastAsia="仿宋_GB2312" w:hAnsiTheme="minorEastAsia"/>
              <w:sz w:val="32"/>
              <w:szCs w:val="32"/>
            </w:rPr>
            <w:fldChar w:fldCharType="begin"/>
          </w:r>
          <w:r>
            <w:rPr>
              <w:rFonts w:hint="eastAsia" w:ascii="仿宋_GB2312" w:eastAsia="仿宋_GB2312" w:hAnsiTheme="minorEastAsia"/>
              <w:sz w:val="32"/>
              <w:szCs w:val="32"/>
            </w:rPr>
            <w:instrText xml:space="preserve"> TOC \o "1-3" \h \z \u </w:instrText>
          </w:r>
          <w:r>
            <w:rPr>
              <w:rFonts w:hint="eastAsia" w:ascii="仿宋_GB2312" w:eastAsia="仿宋_GB2312" w:hAnsiTheme="minorEastAsia"/>
              <w:sz w:val="32"/>
              <w:szCs w:val="32"/>
            </w:rPr>
            <w:fldChar w:fldCharType="separate"/>
          </w:r>
          <w:r>
            <w:fldChar w:fldCharType="begin"/>
          </w:r>
          <w:r>
            <w:instrText xml:space="preserve"> HYPERLINK \l "_Toc3197" </w:instrText>
          </w:r>
          <w:r>
            <w:fldChar w:fldCharType="separate"/>
          </w:r>
          <w:r>
            <w:rPr>
              <w:rFonts w:hint="eastAsia" w:ascii="方正小标宋简体" w:eastAsia="方正小标宋简体" w:hAnsiTheme="minorEastAsia"/>
              <w:sz w:val="30"/>
              <w:szCs w:val="30"/>
            </w:rPr>
            <w:t>前  言</w:t>
          </w:r>
          <w:r>
            <w:rPr>
              <w:sz w:val="30"/>
              <w:szCs w:val="30"/>
            </w:rPr>
            <w:tab/>
          </w:r>
          <w:r>
            <w:rPr>
              <w:sz w:val="30"/>
              <w:szCs w:val="30"/>
            </w:rPr>
            <w:fldChar w:fldCharType="begin"/>
          </w:r>
          <w:r>
            <w:rPr>
              <w:sz w:val="30"/>
              <w:szCs w:val="30"/>
            </w:rPr>
            <w:instrText xml:space="preserve"> PAGEREF _Toc3197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7"/>
            <w:tabs>
              <w:tab w:val="right" w:leader="dot" w:pos="8845"/>
              <w:tab w:val="clear" w:pos="8296"/>
            </w:tabs>
            <w:spacing w:line="540" w:lineRule="exact"/>
            <w:rPr>
              <w:sz w:val="30"/>
              <w:szCs w:val="30"/>
            </w:rPr>
          </w:pPr>
          <w:r>
            <w:fldChar w:fldCharType="begin"/>
          </w:r>
          <w:r>
            <w:instrText xml:space="preserve"> HYPERLINK \l "_Toc24516" </w:instrText>
          </w:r>
          <w:r>
            <w:fldChar w:fldCharType="separate"/>
          </w:r>
          <w:r>
            <w:rPr>
              <w:rFonts w:hint="eastAsia" w:ascii="黑体" w:hAnsi="黑体" w:eastAsia="黑体"/>
              <w:sz w:val="30"/>
              <w:szCs w:val="30"/>
            </w:rPr>
            <w:t>一、数据来源</w:t>
          </w:r>
          <w:r>
            <w:rPr>
              <w:sz w:val="30"/>
              <w:szCs w:val="30"/>
            </w:rPr>
            <w:tab/>
          </w:r>
          <w:r>
            <w:rPr>
              <w:sz w:val="30"/>
              <w:szCs w:val="30"/>
            </w:rPr>
            <w:fldChar w:fldCharType="begin"/>
          </w:r>
          <w:r>
            <w:rPr>
              <w:sz w:val="30"/>
              <w:szCs w:val="30"/>
            </w:rPr>
            <w:instrText xml:space="preserve"> PAGEREF _Toc24516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7"/>
            <w:tabs>
              <w:tab w:val="right" w:leader="dot" w:pos="8845"/>
              <w:tab w:val="clear" w:pos="8296"/>
            </w:tabs>
            <w:spacing w:line="540" w:lineRule="exact"/>
            <w:rPr>
              <w:sz w:val="30"/>
              <w:szCs w:val="30"/>
            </w:rPr>
          </w:pPr>
          <w:r>
            <w:fldChar w:fldCharType="begin"/>
          </w:r>
          <w:r>
            <w:instrText xml:space="preserve"> HYPERLINK \l "_Toc23816" </w:instrText>
          </w:r>
          <w:r>
            <w:fldChar w:fldCharType="separate"/>
          </w:r>
          <w:r>
            <w:rPr>
              <w:rFonts w:hint="eastAsia" w:ascii="黑体" w:hAnsi="黑体" w:eastAsia="黑体"/>
              <w:sz w:val="30"/>
              <w:szCs w:val="30"/>
            </w:rPr>
            <w:t>二、检验数量</w:t>
          </w:r>
          <w:r>
            <w:rPr>
              <w:sz w:val="30"/>
              <w:szCs w:val="30"/>
            </w:rPr>
            <w:tab/>
          </w:r>
          <w:r>
            <w:rPr>
              <w:sz w:val="30"/>
              <w:szCs w:val="30"/>
            </w:rPr>
            <w:fldChar w:fldCharType="begin"/>
          </w:r>
          <w:r>
            <w:rPr>
              <w:sz w:val="30"/>
              <w:szCs w:val="30"/>
            </w:rPr>
            <w:instrText xml:space="preserve"> PAGEREF _Toc23816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7"/>
            <w:tabs>
              <w:tab w:val="right" w:leader="dot" w:pos="8845"/>
              <w:tab w:val="clear" w:pos="8296"/>
            </w:tabs>
            <w:spacing w:line="540" w:lineRule="exact"/>
            <w:rPr>
              <w:sz w:val="30"/>
              <w:szCs w:val="30"/>
            </w:rPr>
          </w:pPr>
          <w:r>
            <w:fldChar w:fldCharType="begin"/>
          </w:r>
          <w:r>
            <w:instrText xml:space="preserve"> HYPERLINK \l "_Toc13859" </w:instrText>
          </w:r>
          <w:r>
            <w:fldChar w:fldCharType="separate"/>
          </w:r>
          <w:r>
            <w:rPr>
              <w:rFonts w:hint="eastAsia" w:ascii="黑体" w:hAnsi="黑体" w:eastAsia="黑体"/>
              <w:sz w:val="30"/>
              <w:szCs w:val="30"/>
            </w:rPr>
            <w:t>三、指标结果</w:t>
          </w:r>
          <w:r>
            <w:rPr>
              <w:sz w:val="30"/>
              <w:szCs w:val="30"/>
            </w:rPr>
            <w:tab/>
          </w:r>
          <w:r>
            <w:rPr>
              <w:sz w:val="30"/>
              <w:szCs w:val="30"/>
            </w:rPr>
            <w:fldChar w:fldCharType="begin"/>
          </w:r>
          <w:r>
            <w:rPr>
              <w:sz w:val="30"/>
              <w:szCs w:val="30"/>
            </w:rPr>
            <w:instrText xml:space="preserve"> PAGEREF _Toc13859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"_Toc21896" </w:instrText>
          </w:r>
          <w:r>
            <w:fldChar w:fldCharType="separate"/>
          </w:r>
          <w:r>
            <w:rPr>
              <w:rFonts w:hint="eastAsia" w:ascii="方正仿宋简体" w:eastAsia="方正仿宋简体"/>
              <w:sz w:val="30"/>
              <w:szCs w:val="30"/>
            </w:rPr>
            <w:t>（一）颜色级</w:t>
          </w:r>
          <w:r>
            <w:rPr>
              <w:sz w:val="30"/>
              <w:szCs w:val="30"/>
            </w:rPr>
            <w:tab/>
          </w:r>
          <w:r>
            <w:rPr>
              <w:sz w:val="30"/>
              <w:szCs w:val="30"/>
            </w:rPr>
            <w:fldChar w:fldCharType="begin"/>
          </w:r>
          <w:r>
            <w:rPr>
              <w:sz w:val="30"/>
              <w:szCs w:val="30"/>
            </w:rPr>
            <w:instrText xml:space="preserve"> PAGEREF _Toc21896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"_Toc24294" </w:instrText>
          </w:r>
          <w:r>
            <w:fldChar w:fldCharType="separate"/>
          </w:r>
          <w:r>
            <w:rPr>
              <w:rFonts w:hint="eastAsia" w:ascii="方正仿宋简体" w:eastAsia="方正仿宋简体"/>
              <w:sz w:val="30"/>
              <w:szCs w:val="30"/>
            </w:rPr>
            <w:t>（二）轧工质量</w:t>
          </w:r>
          <w:r>
            <w:rPr>
              <w:sz w:val="30"/>
              <w:szCs w:val="30"/>
            </w:rPr>
            <w:tab/>
          </w:r>
          <w:r>
            <w:rPr>
              <w:sz w:val="30"/>
              <w:szCs w:val="30"/>
            </w:rPr>
            <w:fldChar w:fldCharType="begin"/>
          </w:r>
          <w:r>
            <w:rPr>
              <w:sz w:val="30"/>
              <w:szCs w:val="30"/>
            </w:rPr>
            <w:instrText xml:space="preserve"> PAGEREF _Toc24294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"_Toc5396" </w:instrText>
          </w:r>
          <w:r>
            <w:fldChar w:fldCharType="separate"/>
          </w:r>
          <w:r>
            <w:rPr>
              <w:rFonts w:hint="eastAsia" w:ascii="方正仿宋简体" w:eastAsia="方正仿宋简体"/>
              <w:sz w:val="30"/>
              <w:szCs w:val="30"/>
            </w:rPr>
            <w:t>（三）长度</w:t>
          </w:r>
          <w:r>
            <w:rPr>
              <w:sz w:val="30"/>
              <w:szCs w:val="30"/>
            </w:rPr>
            <w:tab/>
          </w:r>
          <w:r>
            <w:rPr>
              <w:sz w:val="30"/>
              <w:szCs w:val="30"/>
            </w:rPr>
            <w:fldChar w:fldCharType="begin"/>
          </w:r>
          <w:r>
            <w:rPr>
              <w:sz w:val="30"/>
              <w:szCs w:val="30"/>
            </w:rPr>
            <w:instrText xml:space="preserve"> PAGEREF _Toc5396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"_Toc8420" </w:instrText>
          </w:r>
          <w:r>
            <w:fldChar w:fldCharType="separate"/>
          </w:r>
          <w:r>
            <w:rPr>
              <w:rFonts w:hint="eastAsia" w:ascii="方正仿宋简体" w:eastAsia="方正仿宋简体"/>
              <w:sz w:val="30"/>
              <w:szCs w:val="30"/>
            </w:rPr>
            <w:t>（四）马克隆值</w:t>
          </w:r>
          <w:r>
            <w:rPr>
              <w:sz w:val="30"/>
              <w:szCs w:val="30"/>
            </w:rPr>
            <w:tab/>
          </w:r>
          <w:r>
            <w:rPr>
              <w:sz w:val="30"/>
              <w:szCs w:val="30"/>
            </w:rPr>
            <w:fldChar w:fldCharType="begin"/>
          </w:r>
          <w:r>
            <w:rPr>
              <w:sz w:val="30"/>
              <w:szCs w:val="30"/>
            </w:rPr>
            <w:instrText xml:space="preserve"> PAGEREF _Toc8420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"_Toc17111" </w:instrText>
          </w:r>
          <w:r>
            <w:fldChar w:fldCharType="separate"/>
          </w:r>
          <w:r>
            <w:rPr>
              <w:rFonts w:hint="eastAsia" w:ascii="方正仿宋简体" w:eastAsia="方正仿宋简体"/>
              <w:sz w:val="30"/>
              <w:szCs w:val="30"/>
            </w:rPr>
            <w:t>（五）断裂比强度</w:t>
          </w:r>
          <w:r>
            <w:rPr>
              <w:sz w:val="30"/>
              <w:szCs w:val="30"/>
            </w:rPr>
            <w:tab/>
          </w:r>
          <w:r>
            <w:rPr>
              <w:sz w:val="30"/>
              <w:szCs w:val="30"/>
            </w:rPr>
            <w:fldChar w:fldCharType="begin"/>
          </w:r>
          <w:r>
            <w:rPr>
              <w:sz w:val="30"/>
              <w:szCs w:val="30"/>
            </w:rPr>
            <w:instrText xml:space="preserve"> PAGEREF _Toc17111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"_Toc23427" </w:instrText>
          </w:r>
          <w:r>
            <w:fldChar w:fldCharType="separate"/>
          </w:r>
          <w:r>
            <w:rPr>
              <w:rFonts w:hint="eastAsia" w:ascii="方正仿宋简体" w:eastAsia="方正仿宋简体"/>
              <w:sz w:val="30"/>
              <w:szCs w:val="30"/>
            </w:rPr>
            <w:t>（六）长度整齐度指数</w:t>
          </w:r>
          <w:r>
            <w:rPr>
              <w:sz w:val="30"/>
              <w:szCs w:val="30"/>
            </w:rPr>
            <w:tab/>
          </w:r>
          <w:r>
            <w:rPr>
              <w:sz w:val="30"/>
              <w:szCs w:val="30"/>
            </w:rPr>
            <w:fldChar w:fldCharType="begin"/>
          </w:r>
          <w:r>
            <w:rPr>
              <w:sz w:val="30"/>
              <w:szCs w:val="30"/>
            </w:rPr>
            <w:instrText xml:space="preserve"> PAGEREF _Toc23427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"_Toc27108" </w:instrText>
          </w:r>
          <w:r>
            <w:fldChar w:fldCharType="separate"/>
          </w:r>
          <w:r>
            <w:rPr>
              <w:rFonts w:hint="eastAsia" w:ascii="方正仿宋简体" w:eastAsia="方正仿宋简体"/>
              <w:sz w:val="30"/>
              <w:szCs w:val="30"/>
            </w:rPr>
            <w:t>（七）综合评价</w:t>
          </w:r>
          <w:r>
            <w:rPr>
              <w:sz w:val="30"/>
              <w:szCs w:val="30"/>
            </w:rPr>
            <w:tab/>
          </w:r>
          <w:r>
            <w:rPr>
              <w:sz w:val="30"/>
              <w:szCs w:val="30"/>
            </w:rPr>
            <w:fldChar w:fldCharType="begin"/>
          </w:r>
          <w:r>
            <w:rPr>
              <w:sz w:val="30"/>
              <w:szCs w:val="30"/>
            </w:rPr>
            <w:instrText xml:space="preserve"> PAGEREF _Toc27108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7"/>
            <w:tabs>
              <w:tab w:val="right" w:leader="dot" w:pos="8845"/>
              <w:tab w:val="clear" w:pos="8296"/>
            </w:tabs>
            <w:spacing w:line="540" w:lineRule="exact"/>
            <w:rPr>
              <w:sz w:val="30"/>
              <w:szCs w:val="30"/>
            </w:rPr>
          </w:pPr>
          <w:r>
            <w:fldChar w:fldCharType="begin"/>
          </w:r>
          <w:r>
            <w:instrText xml:space="preserve"> HYPERLINK \l "_Toc31174" </w:instrText>
          </w:r>
          <w:r>
            <w:fldChar w:fldCharType="separate"/>
          </w:r>
          <w:r>
            <w:rPr>
              <w:rFonts w:hint="eastAsia" w:ascii="黑体" w:hAnsi="黑体" w:eastAsia="黑体"/>
              <w:sz w:val="30"/>
              <w:szCs w:val="30"/>
            </w:rPr>
            <w:t>四、质量影响因素分析</w:t>
          </w:r>
          <w:r>
            <w:rPr>
              <w:sz w:val="30"/>
              <w:szCs w:val="30"/>
            </w:rPr>
            <w:tab/>
          </w:r>
          <w:r>
            <w:rPr>
              <w:sz w:val="30"/>
              <w:szCs w:val="30"/>
            </w:rPr>
            <w:fldChar w:fldCharType="begin"/>
          </w:r>
          <w:r>
            <w:rPr>
              <w:sz w:val="30"/>
              <w:szCs w:val="30"/>
            </w:rPr>
            <w:instrText xml:space="preserve"> PAGEREF _Toc31174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"_Toc3198" </w:instrText>
          </w:r>
          <w:r>
            <w:fldChar w:fldCharType="separate"/>
          </w:r>
          <w:r>
            <w:rPr>
              <w:rFonts w:hint="eastAsia" w:ascii="方正仿宋简体" w:eastAsia="方正仿宋简体"/>
              <w:sz w:val="30"/>
              <w:szCs w:val="30"/>
            </w:rPr>
            <w:t>（一）自然条件</w:t>
          </w:r>
          <w:r>
            <w:rPr>
              <w:sz w:val="30"/>
              <w:szCs w:val="30"/>
            </w:rPr>
            <w:tab/>
          </w:r>
          <w:r>
            <w:rPr>
              <w:sz w:val="30"/>
              <w:szCs w:val="30"/>
            </w:rPr>
            <w:fldChar w:fldCharType="begin"/>
          </w:r>
          <w:r>
            <w:rPr>
              <w:sz w:val="30"/>
              <w:szCs w:val="30"/>
            </w:rPr>
            <w:instrText xml:space="preserve"> PAGEREF _Toc3198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"_Toc29420" </w:instrText>
          </w:r>
          <w:r>
            <w:fldChar w:fldCharType="separate"/>
          </w:r>
          <w:r>
            <w:rPr>
              <w:rFonts w:hint="eastAsia" w:ascii="方正仿宋简体" w:eastAsia="方正仿宋简体"/>
              <w:sz w:val="30"/>
              <w:szCs w:val="30"/>
            </w:rPr>
            <w:t>（二）产业政策</w:t>
          </w:r>
          <w:r>
            <w:rPr>
              <w:sz w:val="30"/>
              <w:szCs w:val="30"/>
            </w:rPr>
            <w:tab/>
          </w:r>
          <w:r>
            <w:rPr>
              <w:sz w:val="30"/>
              <w:szCs w:val="30"/>
            </w:rPr>
            <w:fldChar w:fldCharType="begin"/>
          </w:r>
          <w:r>
            <w:rPr>
              <w:sz w:val="30"/>
              <w:szCs w:val="30"/>
            </w:rPr>
            <w:instrText xml:space="preserve"> PAGEREF _Toc29420 </w:instrText>
          </w:r>
          <w:r>
            <w:rPr>
              <w:sz w:val="30"/>
              <w:szCs w:val="30"/>
            </w:rPr>
            <w:fldChar w:fldCharType="separate"/>
          </w:r>
          <w:r>
            <w:rPr>
              <w:sz w:val="30"/>
              <w:szCs w:val="30"/>
            </w:rPr>
            <w:t>28</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"_Toc29390" </w:instrText>
          </w:r>
          <w:r>
            <w:fldChar w:fldCharType="separate"/>
          </w:r>
          <w:r>
            <w:rPr>
              <w:rFonts w:hint="eastAsia" w:ascii="方正仿宋简体" w:eastAsia="方正仿宋简体"/>
              <w:sz w:val="30"/>
              <w:szCs w:val="30"/>
            </w:rPr>
            <w:t>（三）市场形势</w:t>
          </w:r>
          <w:r>
            <w:rPr>
              <w:sz w:val="30"/>
              <w:szCs w:val="30"/>
            </w:rPr>
            <w:tab/>
          </w:r>
          <w:r>
            <w:rPr>
              <w:sz w:val="30"/>
              <w:szCs w:val="30"/>
            </w:rPr>
            <w:fldChar w:fldCharType="begin"/>
          </w:r>
          <w:r>
            <w:rPr>
              <w:sz w:val="30"/>
              <w:szCs w:val="30"/>
            </w:rPr>
            <w:instrText xml:space="preserve"> PAGEREF _Toc29390 </w:instrText>
          </w:r>
          <w:r>
            <w:rPr>
              <w:sz w:val="30"/>
              <w:szCs w:val="30"/>
            </w:rPr>
            <w:fldChar w:fldCharType="separate"/>
          </w:r>
          <w:r>
            <w:rPr>
              <w:sz w:val="30"/>
              <w:szCs w:val="30"/>
            </w:rPr>
            <w:t>29</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"_Toc27864" </w:instrText>
          </w:r>
          <w:r>
            <w:fldChar w:fldCharType="separate"/>
          </w:r>
          <w:r>
            <w:rPr>
              <w:rFonts w:hint="eastAsia" w:ascii="方正仿宋简体" w:eastAsia="方正仿宋简体"/>
              <w:sz w:val="30"/>
              <w:szCs w:val="30"/>
            </w:rPr>
            <w:t>（四）生产环节</w:t>
          </w:r>
          <w:r>
            <w:rPr>
              <w:sz w:val="30"/>
              <w:szCs w:val="30"/>
            </w:rPr>
            <w:tab/>
          </w:r>
          <w:r>
            <w:rPr>
              <w:sz w:val="30"/>
              <w:szCs w:val="30"/>
            </w:rPr>
            <w:fldChar w:fldCharType="begin"/>
          </w:r>
          <w:r>
            <w:rPr>
              <w:sz w:val="30"/>
              <w:szCs w:val="30"/>
            </w:rPr>
            <w:instrText xml:space="preserve"> PAGEREF _Toc27864 </w:instrText>
          </w:r>
          <w:r>
            <w:rPr>
              <w:sz w:val="30"/>
              <w:szCs w:val="30"/>
            </w:rPr>
            <w:fldChar w:fldCharType="separate"/>
          </w:r>
          <w:r>
            <w:rPr>
              <w:sz w:val="30"/>
              <w:szCs w:val="30"/>
            </w:rPr>
            <w:t>29</w:t>
          </w:r>
          <w:r>
            <w:rPr>
              <w:sz w:val="30"/>
              <w:szCs w:val="30"/>
            </w:rPr>
            <w:fldChar w:fldCharType="end"/>
          </w:r>
          <w:r>
            <w:rPr>
              <w:sz w:val="30"/>
              <w:szCs w:val="30"/>
            </w:rPr>
            <w:fldChar w:fldCharType="end"/>
          </w:r>
        </w:p>
        <w:p>
          <w:pPr>
            <w:pStyle w:val="7"/>
            <w:tabs>
              <w:tab w:val="right" w:leader="dot" w:pos="8845"/>
              <w:tab w:val="clear" w:pos="8296"/>
            </w:tabs>
            <w:spacing w:line="540" w:lineRule="exact"/>
            <w:rPr>
              <w:sz w:val="30"/>
              <w:szCs w:val="30"/>
            </w:rPr>
          </w:pPr>
          <w:r>
            <w:fldChar w:fldCharType="begin"/>
          </w:r>
          <w:r>
            <w:instrText xml:space="preserve"> HYPERLINK \l "_Toc6173" </w:instrText>
          </w:r>
          <w:r>
            <w:fldChar w:fldCharType="separate"/>
          </w:r>
          <w:r>
            <w:rPr>
              <w:rFonts w:hint="eastAsia" w:ascii="黑体" w:hAnsi="黑体" w:eastAsia="黑体"/>
              <w:sz w:val="30"/>
              <w:szCs w:val="30"/>
            </w:rPr>
            <w:t>五、有关建议</w:t>
          </w:r>
          <w:r>
            <w:rPr>
              <w:sz w:val="30"/>
              <w:szCs w:val="30"/>
            </w:rPr>
            <w:tab/>
          </w:r>
          <w:r>
            <w:rPr>
              <w:sz w:val="30"/>
              <w:szCs w:val="30"/>
            </w:rPr>
            <w:fldChar w:fldCharType="begin"/>
          </w:r>
          <w:r>
            <w:rPr>
              <w:sz w:val="30"/>
              <w:szCs w:val="30"/>
            </w:rPr>
            <w:instrText xml:space="preserve"> PAGEREF _Toc6173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"_Toc30421" </w:instrText>
          </w:r>
          <w:r>
            <w:fldChar w:fldCharType="separate"/>
          </w:r>
          <w:r>
            <w:rPr>
              <w:rFonts w:hint="eastAsia" w:ascii="方正仿宋简体" w:eastAsia="方正仿宋简体"/>
              <w:sz w:val="30"/>
              <w:szCs w:val="30"/>
            </w:rPr>
            <w:t>（一）把握棉花产业形势，继续完善宏观调控政策</w:t>
          </w:r>
          <w:r>
            <w:rPr>
              <w:sz w:val="30"/>
              <w:szCs w:val="30"/>
            </w:rPr>
            <w:tab/>
          </w:r>
          <w:r>
            <w:rPr>
              <w:sz w:val="30"/>
              <w:szCs w:val="30"/>
            </w:rPr>
            <w:fldChar w:fldCharType="begin"/>
          </w:r>
          <w:r>
            <w:rPr>
              <w:sz w:val="30"/>
              <w:szCs w:val="30"/>
            </w:rPr>
            <w:instrText xml:space="preserve"> PAGEREF _Toc30421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"_Toc29451" </w:instrText>
          </w:r>
          <w:r>
            <w:fldChar w:fldCharType="separate"/>
          </w:r>
          <w:r>
            <w:rPr>
              <w:rFonts w:hint="eastAsia" w:ascii="方正仿宋简体" w:eastAsia="方正仿宋简体"/>
              <w:sz w:val="30"/>
              <w:szCs w:val="30"/>
            </w:rPr>
            <w:t>（二）发挥质量大数据作用，加大科技兴棉力度</w:t>
          </w:r>
          <w:r>
            <w:rPr>
              <w:sz w:val="30"/>
              <w:szCs w:val="30"/>
            </w:rPr>
            <w:tab/>
          </w:r>
          <w:r>
            <w:rPr>
              <w:sz w:val="30"/>
              <w:szCs w:val="30"/>
            </w:rPr>
            <w:fldChar w:fldCharType="begin"/>
          </w:r>
          <w:r>
            <w:rPr>
              <w:sz w:val="30"/>
              <w:szCs w:val="30"/>
            </w:rPr>
            <w:instrText xml:space="preserve"> PAGEREF _Toc29451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rPr>
              <w:sz w:val="30"/>
              <w:szCs w:val="30"/>
            </w:rPr>
          </w:pPr>
          <w:r>
            <w:fldChar w:fldCharType="begin"/>
          </w:r>
          <w:r>
            <w:instrText xml:space="preserve"> HYPERLINK \l "_Toc18299" </w:instrText>
          </w:r>
          <w:r>
            <w:fldChar w:fldCharType="separate"/>
          </w:r>
          <w:r>
            <w:rPr>
              <w:rFonts w:hint="eastAsia" w:ascii="方正仿宋简体" w:eastAsia="方正仿宋简体"/>
              <w:sz w:val="30"/>
              <w:szCs w:val="30"/>
            </w:rPr>
            <w:t>（三）树立品牌效应，提高优质棉市场竞争力</w:t>
          </w:r>
          <w:r>
            <w:rPr>
              <w:sz w:val="30"/>
              <w:szCs w:val="30"/>
            </w:rPr>
            <w:tab/>
          </w:r>
          <w:r>
            <w:rPr>
              <w:sz w:val="30"/>
              <w:szCs w:val="30"/>
            </w:rPr>
            <w:fldChar w:fldCharType="begin"/>
          </w:r>
          <w:r>
            <w:rPr>
              <w:sz w:val="30"/>
              <w:szCs w:val="30"/>
            </w:rPr>
            <w:instrText xml:space="preserve"> PAGEREF _Toc18299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9"/>
            <w:tabs>
              <w:tab w:val="right" w:leader="dot" w:pos="8845"/>
              <w:tab w:val="clear" w:pos="8315"/>
            </w:tabs>
            <w:spacing w:line="540" w:lineRule="exact"/>
            <w:ind w:left="402"/>
          </w:pPr>
          <w:r>
            <w:fldChar w:fldCharType="begin"/>
          </w:r>
          <w:r>
            <w:instrText xml:space="preserve"> HYPERLINK \l "_Toc30817" </w:instrText>
          </w:r>
          <w:r>
            <w:fldChar w:fldCharType="separate"/>
          </w:r>
          <w:r>
            <w:rPr>
              <w:rFonts w:hint="eastAsia" w:ascii="方正仿宋简体" w:eastAsia="方正仿宋简体"/>
              <w:sz w:val="30"/>
              <w:szCs w:val="30"/>
            </w:rPr>
            <w:t>（三）加强棉花监督与管理水平，提升全国棉花质量</w:t>
          </w:r>
          <w:r>
            <w:rPr>
              <w:sz w:val="30"/>
              <w:szCs w:val="30"/>
            </w:rPr>
            <w:tab/>
          </w:r>
          <w:r>
            <w:rPr>
              <w:sz w:val="30"/>
              <w:szCs w:val="30"/>
            </w:rPr>
            <w:fldChar w:fldCharType="begin"/>
          </w:r>
          <w:r>
            <w:rPr>
              <w:sz w:val="30"/>
              <w:szCs w:val="30"/>
            </w:rPr>
            <w:instrText xml:space="preserve"> PAGEREF _Toc30817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7"/>
            <w:tabs>
              <w:tab w:val="right" w:leader="dot" w:pos="8222"/>
              <w:tab w:val="right" w:leader="dot" w:pos="8364"/>
              <w:tab w:val="clear" w:pos="8296"/>
            </w:tabs>
            <w:spacing w:line="540" w:lineRule="exact"/>
            <w:rPr>
              <w:rFonts w:ascii="方正小标宋简体" w:eastAsia="方正小标宋简体" w:hAnsiTheme="minorEastAsia"/>
              <w:sz w:val="10"/>
              <w:szCs w:val="10"/>
            </w:rPr>
            <w:sectPr>
              <w:headerReference r:id="rId5" w:type="first"/>
              <w:headerReference r:id="rId4" w:type="default"/>
              <w:footerReference r:id="rId6" w:type="default"/>
              <w:footerReference r:id="rId7" w:type="even"/>
              <w:footnotePr>
                <w:numFmt w:val="decimalEnclosedCircleChinese"/>
              </w:footnotePr>
              <w:pgSz w:w="11906" w:h="16838"/>
              <w:pgMar w:top="2098" w:right="1474" w:bottom="1928" w:left="1587" w:header="851" w:footer="1134" w:gutter="0"/>
              <w:pgNumType w:start="1"/>
              <w:cols w:space="0" w:num="1"/>
              <w:titlePg/>
              <w:docGrid w:type="linesAndChars" w:linePitch="287" w:charSpace="-1839"/>
            </w:sectPr>
          </w:pPr>
          <w:r>
            <w:rPr>
              <w:rFonts w:hint="eastAsia" w:ascii="仿宋_GB2312" w:eastAsia="仿宋_GB2312" w:hAnsiTheme="minorEastAsia"/>
              <w:bCs/>
              <w:szCs w:val="32"/>
              <w:lang w:val="zh-CN"/>
            </w:rPr>
            <w:fldChar w:fldCharType="end"/>
          </w:r>
        </w:p>
      </w:sdtContent>
    </w:sdt>
    <w:p>
      <w:pPr>
        <w:pStyle w:val="2"/>
        <w:spacing w:before="0" w:beforeAutospacing="0" w:after="0" w:afterAutospacing="0" w:line="576" w:lineRule="exact"/>
        <w:ind w:firstLine="0" w:firstLineChars="0"/>
        <w:jc w:val="center"/>
        <w:rPr>
          <w:rFonts w:ascii="方正小标宋简体" w:eastAsia="方正小标宋简体" w:hAnsiTheme="minorEastAsia"/>
          <w:b w:val="0"/>
          <w:sz w:val="44"/>
          <w:szCs w:val="44"/>
        </w:rPr>
      </w:pPr>
      <w:bookmarkStart w:id="0" w:name="_Toc3197"/>
      <w:r>
        <w:rPr>
          <w:rFonts w:hint="eastAsia" w:ascii="方正小标宋简体" w:eastAsia="方正小标宋简体" w:hAnsiTheme="minorEastAsia"/>
          <w:b w:val="0"/>
          <w:sz w:val="44"/>
          <w:szCs w:val="44"/>
        </w:rPr>
        <w:t>前  言</w:t>
      </w:r>
      <w:bookmarkEnd w:id="0"/>
    </w:p>
    <w:p>
      <w:pPr>
        <w:pStyle w:val="2"/>
        <w:spacing w:before="0" w:beforeAutospacing="0" w:after="0" w:afterAutospacing="0" w:line="576" w:lineRule="exact"/>
        <w:ind w:firstLine="0" w:firstLineChars="0"/>
        <w:jc w:val="center"/>
        <w:rPr>
          <w:rFonts w:ascii="方正小标宋简体" w:eastAsia="方正小标宋简体" w:hAnsiTheme="minorEastAsia"/>
          <w:b w:val="0"/>
          <w:sz w:val="44"/>
          <w:szCs w:val="44"/>
        </w:rPr>
      </w:pPr>
    </w:p>
    <w:p>
      <w:pPr>
        <w:pStyle w:val="23"/>
        <w:spacing w:line="576" w:lineRule="exact"/>
        <w:ind w:firstLine="622"/>
        <w:rPr>
          <w:rFonts w:ascii="方正仿宋简体" w:eastAsia="方正仿宋简体"/>
          <w:sz w:val="32"/>
        </w:rPr>
      </w:pPr>
      <w:r>
        <w:rPr>
          <w:rFonts w:hint="eastAsia" w:ascii="方正仿宋简体" w:eastAsia="方正仿宋简体"/>
          <w:sz w:val="32"/>
        </w:rPr>
        <w:t>棉花是关系国计民生的重要物资，是我国主要的经济作物和纺织工业的主要原材料，在国民经济发展中具有重要地位。棉花产业涉及生产、加工、流通</w:t>
      </w:r>
      <w:r>
        <w:rPr>
          <w:rFonts w:hint="eastAsia" w:ascii="方正仿宋简体" w:eastAsia="方正仿宋简体"/>
          <w:sz w:val="32"/>
          <w:lang w:eastAsia="zh-CN"/>
        </w:rPr>
        <w:t>和</w:t>
      </w:r>
      <w:r>
        <w:rPr>
          <w:rFonts w:hint="eastAsia" w:ascii="方正仿宋简体" w:eastAsia="方正仿宋简体"/>
          <w:sz w:val="32"/>
        </w:rPr>
        <w:t>纺织等多个行业，解决了我国大量的城乡劳动力就业问题，不仅是纺织工业发展的重要支撑，还是棉区农民增收的重要途径。棉花质量关系到产、供、需各方利益，贯穿于整个棉花产业链，对纺织工业和国民经济的发展有着重要影响。全面、准确地反映我国棉花质量状况，对加强宏观调控，维护市场稳定，引导棉花产业健康有序发展，是十分必要的。</w:t>
      </w:r>
    </w:p>
    <w:p>
      <w:pPr>
        <w:pStyle w:val="23"/>
        <w:spacing w:line="576" w:lineRule="exact"/>
        <w:ind w:firstLine="622"/>
        <w:rPr>
          <w:rFonts w:ascii="仿宋_GB2312" w:eastAsia="仿宋_GB2312"/>
          <w:sz w:val="32"/>
        </w:rPr>
      </w:pPr>
      <w:r>
        <w:rPr>
          <w:rFonts w:hint="eastAsia" w:ascii="方正仿宋简体" w:eastAsia="方正仿宋简体"/>
          <w:sz w:val="32"/>
        </w:rPr>
        <w:t>为保证我国棉花流通质量，稳定市场交易秩序，促进棉花产业健康发展，我国进行了棉花质量检验体制改革，将棉花质量检验方式由人工感官检验逐步转变为全部采用仪器化快速检验。改革推行十余年来，我国仪器化公证检验工作不断深入，检验量稳步上升，检验数据能比较真实地反映当年度我国棉花质量情况。《2016/2017年度中国棉花质量分析报告》以本年度新体制棉花加工企业收购加工细绒棉（重点是新疆监管棉花）的公证检验数据为基础进行统计、分析，以期得到有价值的信息，为涉棉的政府职能部门、行业组织和相关企业分析棉花形势、研究棉花政策、扶持棉花产业提供重要依据。</w:t>
      </w:r>
    </w:p>
    <w:p>
      <w:pPr>
        <w:widowControl/>
        <w:spacing w:line="576" w:lineRule="exact"/>
        <w:jc w:val="left"/>
        <w:rPr>
          <w:rFonts w:ascii="仿宋_GB2312" w:eastAsia="仿宋_GB2312"/>
          <w:sz w:val="32"/>
        </w:rPr>
      </w:pPr>
      <w:r>
        <w:rPr>
          <w:rFonts w:ascii="仿宋_GB2312" w:eastAsia="仿宋_GB2312"/>
          <w:sz w:val="32"/>
        </w:rPr>
        <w:br w:type="page"/>
      </w:r>
    </w:p>
    <w:p>
      <w:pPr>
        <w:pStyle w:val="2"/>
        <w:widowControl w:val="0"/>
        <w:adjustRightInd w:val="0"/>
        <w:snapToGrid w:val="0"/>
        <w:spacing w:before="0" w:beforeAutospacing="0" w:after="0" w:afterAutospacing="0" w:line="576" w:lineRule="exact"/>
        <w:ind w:firstLine="622"/>
        <w:jc w:val="both"/>
        <w:rPr>
          <w:rFonts w:ascii="黑体" w:hAnsi="黑体" w:eastAsia="黑体"/>
          <w:b w:val="0"/>
          <w:sz w:val="32"/>
        </w:rPr>
      </w:pPr>
      <w:bookmarkStart w:id="1" w:name="_Toc24516"/>
      <w:r>
        <w:rPr>
          <w:rFonts w:hint="eastAsia" w:ascii="黑体" w:hAnsi="黑体" w:eastAsia="黑体"/>
          <w:b w:val="0"/>
          <w:sz w:val="32"/>
        </w:rPr>
        <w:t>一、数据来源</w:t>
      </w:r>
      <w:bookmarkEnd w:id="1"/>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2016/2017年度中国棉花质量分析报告，依据GB 1103.1-2012《棉花 第1部分：锯齿加工细绒棉》</w:t>
      </w:r>
      <w:r>
        <w:rPr>
          <w:rStyle w:val="15"/>
          <w:rFonts w:hint="eastAsia" w:ascii="方正仿宋简体" w:eastAsia="方正仿宋简体"/>
          <w:sz w:val="32"/>
        </w:rPr>
        <w:footnoteReference w:id="0"/>
      </w:r>
      <w:r>
        <w:rPr>
          <w:rFonts w:hint="eastAsia" w:ascii="方正仿宋简体" w:eastAsia="方正仿宋简体"/>
          <w:sz w:val="32"/>
        </w:rPr>
        <w:t xml:space="preserve">国家标准，对颜色级、轧工质量、长度、马克隆值、断裂比强度、长度整齐度指数等主要指标进行汇总统计，并综合生产、市场和政策等多方因素进行分析和评价而成。 </w:t>
      </w:r>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本报告所称的新体制棉花，是指按照棉花质量检验体制改革方案要求进行生产、加工，并在棉花产地经过仪器化公证检验的成包皮棉。</w:t>
      </w:r>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本报告所称的棉花年度，起止时间为当年9月1日至次年8月31日，2016/2017年度即为2016年9月1日至2017年8月31日。</w:t>
      </w:r>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按照品种及纤维长度，我国棉花分为细绒棉和长绒棉，长绒棉仅在新疆有种植，占全国棉花总量的比例极低，其检验依据为GB 19635-2005《棉花 长绒棉》，与细绒棉的检验依据不同。细绒棉按加工方式的不同分为锯齿加工细绒棉和皮辊加工细绒棉，皮辊加工细绒棉占全国棉花总量的比例极低，其检验依据为GB 1103.2-2012《棉花 第2部分：皮辊加工细绒棉》。因此，本文所统计的质量指标数据，均以当年度新体制棉花锯齿加工细绒棉的公证检验数据为基础计算而来。</w:t>
      </w:r>
    </w:p>
    <w:p>
      <w:pPr>
        <w:pStyle w:val="2"/>
        <w:spacing w:before="0" w:beforeAutospacing="0" w:after="0" w:afterAutospacing="0" w:line="576" w:lineRule="exact"/>
        <w:ind w:firstLine="622"/>
        <w:rPr>
          <w:rFonts w:ascii="黑体" w:hAnsi="黑体" w:eastAsia="黑体"/>
          <w:b w:val="0"/>
          <w:sz w:val="32"/>
        </w:rPr>
      </w:pPr>
      <w:bookmarkStart w:id="2" w:name="_Toc23816"/>
      <w:r>
        <w:rPr>
          <w:rFonts w:hint="eastAsia" w:ascii="黑体" w:hAnsi="黑体" w:eastAsia="黑体"/>
          <w:b w:val="0"/>
          <w:sz w:val="32"/>
        </w:rPr>
        <w:t>二、检验数量</w:t>
      </w:r>
      <w:bookmarkEnd w:id="2"/>
    </w:p>
    <w:p>
      <w:pPr>
        <w:spacing w:line="576" w:lineRule="exact"/>
        <w:ind w:firstLine="624" w:firstLineChars="200"/>
        <w:rPr>
          <w:rFonts w:ascii="方正仿宋简体" w:eastAsia="方正仿宋简体"/>
          <w:sz w:val="32"/>
        </w:rPr>
      </w:pPr>
      <w:r>
        <w:rPr>
          <w:rFonts w:hint="eastAsia" w:ascii="方正仿宋简体" w:eastAsia="方正仿宋简体"/>
          <w:sz w:val="32"/>
        </w:rPr>
        <w:t>2016/2017年度，全国新体制棉花细绒棉公证检验涉及的产棉省（自治区、直辖市）及新疆生产建设兵团共10个</w:t>
      </w:r>
      <w:r>
        <w:rPr>
          <w:rStyle w:val="15"/>
          <w:rFonts w:hint="eastAsia" w:ascii="方正仿宋简体" w:eastAsia="方正仿宋简体"/>
          <w:sz w:val="32"/>
        </w:rPr>
        <w:footnoteReference w:id="1"/>
      </w:r>
      <w:r>
        <w:rPr>
          <w:rFonts w:hint="eastAsia" w:ascii="方正仿宋简体" w:eastAsia="方正仿宋简体"/>
          <w:sz w:val="32"/>
        </w:rPr>
        <w:t>，比上一年度减少3个，涉及加工企业987家，比上一年度减少10.27%，检验量1835万包，415.7万吨，分别比上一年度增加15.48%、15.56%，检验量有所回升，分布进一步集中（见图2-1）。</w:t>
      </w:r>
    </w:p>
    <w:p>
      <w:pPr>
        <w:adjustRightInd w:val="0"/>
        <w:snapToGrid w:val="0"/>
        <w:ind w:left="-404" w:leftChars="-200"/>
        <w:jc w:val="right"/>
        <w:rPr>
          <w:rFonts w:ascii="仿宋_GB2312" w:eastAsia="仿宋_GB2312"/>
          <w:sz w:val="32"/>
          <w:highlight w:val="yellow"/>
        </w:rPr>
      </w:pPr>
      <w:r>
        <w:rPr>
          <w:rFonts w:ascii="仿宋_GB2312" w:eastAsia="仿宋_GB2312"/>
          <w:sz w:val="32"/>
        </w:rPr>
        <w:drawing>
          <wp:inline distT="0" distB="0" distL="0" distR="0">
            <wp:extent cx="6210300" cy="3076575"/>
            <wp:effectExtent l="5080" t="4445" r="1397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76" w:lineRule="exact"/>
        <w:ind w:firstLine="624" w:firstLineChars="200"/>
        <w:rPr>
          <w:rFonts w:ascii="方正仿宋简体" w:eastAsia="方正仿宋简体"/>
          <w:sz w:val="32"/>
        </w:rPr>
      </w:pPr>
      <w:r>
        <w:rPr>
          <w:rFonts w:hint="eastAsia" w:ascii="方正仿宋简体" w:eastAsia="方正仿宋简体"/>
          <w:sz w:val="32"/>
        </w:rPr>
        <w:t>对比近5个年度的新体制企业检验数量，新疆作为我国棉花最主要产区，检验量所占全国比重仍在进一步扩大，达到95.39%，较上一年度增加4.28个百分点（见图2-2），其中，新疆地方检验量</w:t>
      </w:r>
      <w:r>
        <w:rPr>
          <w:rFonts w:hint="eastAsia" w:ascii="方正仿宋简体" w:eastAsia="方正仿宋简体"/>
          <w:sz w:val="32"/>
          <w:lang w:eastAsia="zh-CN"/>
        </w:rPr>
        <w:t>增幅</w:t>
      </w:r>
      <w:r>
        <w:rPr>
          <w:rFonts w:hint="eastAsia" w:ascii="方正仿宋简体" w:eastAsia="方正仿宋简体"/>
          <w:sz w:val="32"/>
        </w:rPr>
        <w:t>较为明显，增长36.21%（见图2-3-3）。内地棉区检验量进一步萎缩，黄河流域棉区同比下降39.69%，长</w:t>
      </w:r>
      <w:r>
        <w:rPr>
          <w:rFonts w:hint="eastAsia" w:ascii="方正仿宋简体" w:eastAsia="方正仿宋简体"/>
          <w:spacing w:val="-10"/>
          <w:sz w:val="32"/>
        </w:rPr>
        <w:t>江流域棉区同比下降49.77%。其中，山西、浙江、江西</w:t>
      </w:r>
      <w:r>
        <w:rPr>
          <w:rFonts w:hint="eastAsia" w:ascii="方正仿宋简体" w:eastAsia="方正仿宋简体"/>
          <w:spacing w:val="-10"/>
          <w:sz w:val="32"/>
          <w:lang w:eastAsia="zh-CN"/>
        </w:rPr>
        <w:t>三</w:t>
      </w:r>
      <w:r>
        <w:rPr>
          <w:rFonts w:hint="eastAsia" w:ascii="方正仿宋简体" w:eastAsia="方正仿宋简体"/>
          <w:spacing w:val="-10"/>
          <w:sz w:val="32"/>
        </w:rPr>
        <w:t>省在本年度没有检验量（见图2-3、图2-3-1、图2-3-2）。</w:t>
      </w:r>
    </w:p>
    <w:p>
      <w:pPr>
        <w:rPr>
          <w:rFonts w:ascii="仿宋_GB2312" w:eastAsia="仿宋_GB2312"/>
          <w:sz w:val="32"/>
        </w:rPr>
      </w:pPr>
      <w:r>
        <w:rPr>
          <w:rFonts w:ascii="仿宋_GB2312" w:eastAsia="仿宋_GB2312"/>
          <w:sz w:val="32"/>
        </w:rPr>
        <w:drawing>
          <wp:inline distT="0" distB="0" distL="0" distR="0">
            <wp:extent cx="5657850" cy="41529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left="-1212" w:leftChars="-600"/>
        <w:jc w:val="center"/>
        <w:rPr>
          <w:rFonts w:ascii="宋体" w:hAnsi="宋体" w:cs="宋体"/>
          <w:b/>
          <w:kern w:val="0"/>
          <w:sz w:val="24"/>
          <w:szCs w:val="22"/>
        </w:rPr>
      </w:pPr>
      <w:r>
        <w:rPr>
          <w:rFonts w:ascii="宋体" w:hAnsi="宋体" w:cs="宋体"/>
          <w:b/>
          <w:kern w:val="0"/>
          <w:sz w:val="24"/>
          <w:szCs w:val="22"/>
        </w:rPr>
        <w:drawing>
          <wp:inline distT="0" distB="0" distL="0" distR="0">
            <wp:extent cx="6848475" cy="338137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left="-404" w:leftChars="-200"/>
        <w:jc w:val="center"/>
        <w:rPr>
          <w:rFonts w:ascii="宋体" w:hAnsi="宋体" w:cs="宋体"/>
          <w:b/>
          <w:kern w:val="0"/>
          <w:sz w:val="24"/>
          <w:szCs w:val="22"/>
        </w:rPr>
      </w:pPr>
      <w:r>
        <w:rPr>
          <w:rFonts w:hint="eastAsia" w:ascii="宋体" w:hAnsi="宋体" w:cs="宋体"/>
          <w:b/>
          <w:kern w:val="0"/>
          <w:sz w:val="24"/>
          <w:szCs w:val="22"/>
        </w:rPr>
        <w:drawing>
          <wp:inline distT="0" distB="0" distL="0" distR="0">
            <wp:extent cx="6096000" cy="35814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napToGrid w:val="0"/>
        <w:jc w:val="center"/>
        <w:rPr>
          <w:rFonts w:ascii="宋体" w:hAnsi="宋体" w:cs="宋体"/>
          <w:b/>
          <w:kern w:val="0"/>
          <w:sz w:val="24"/>
          <w:szCs w:val="22"/>
        </w:rPr>
      </w:pPr>
    </w:p>
    <w:p>
      <w:pPr>
        <w:ind w:left="-404" w:leftChars="-200"/>
        <w:jc w:val="center"/>
        <w:rPr>
          <w:rFonts w:ascii="宋体" w:hAnsi="宋体" w:cs="宋体"/>
          <w:b/>
          <w:kern w:val="0"/>
          <w:sz w:val="24"/>
          <w:szCs w:val="22"/>
        </w:rPr>
      </w:pPr>
      <w:r>
        <w:rPr>
          <w:rFonts w:ascii="宋体" w:hAnsi="宋体" w:cs="宋体"/>
          <w:b/>
          <w:kern w:val="0"/>
          <w:sz w:val="24"/>
          <w:szCs w:val="22"/>
        </w:rPr>
        <w:drawing>
          <wp:inline distT="0" distB="0" distL="0" distR="0">
            <wp:extent cx="6162675" cy="407670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left="-505" w:leftChars="-250"/>
        <w:jc w:val="center"/>
        <w:rPr>
          <w:rFonts w:ascii="宋体" w:hAnsi="宋体" w:cs="宋体"/>
          <w:b/>
          <w:kern w:val="0"/>
          <w:sz w:val="24"/>
          <w:szCs w:val="22"/>
        </w:rPr>
      </w:pPr>
      <w:r>
        <w:rPr>
          <w:rFonts w:hint="eastAsia" w:ascii="宋体" w:hAnsi="宋体" w:cs="宋体"/>
          <w:b/>
          <w:kern w:val="0"/>
          <w:sz w:val="24"/>
          <w:szCs w:val="22"/>
        </w:rPr>
        <w:drawing>
          <wp:inline distT="0" distB="0" distL="0" distR="0">
            <wp:extent cx="6248400" cy="330517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
        <w:spacing w:before="0" w:beforeAutospacing="0" w:after="0" w:afterAutospacing="0" w:line="576" w:lineRule="exact"/>
        <w:ind w:firstLine="622"/>
        <w:rPr>
          <w:rFonts w:ascii="黑体" w:hAnsi="黑体" w:eastAsia="黑体"/>
          <w:b w:val="0"/>
          <w:sz w:val="32"/>
          <w:szCs w:val="32"/>
        </w:rPr>
      </w:pPr>
      <w:bookmarkStart w:id="3" w:name="_Toc13859"/>
      <w:r>
        <w:rPr>
          <w:rFonts w:hint="eastAsia" w:ascii="黑体" w:hAnsi="黑体" w:eastAsia="黑体"/>
          <w:b w:val="0"/>
          <w:sz w:val="32"/>
          <w:szCs w:val="32"/>
        </w:rPr>
        <w:t>三、指标结果</w:t>
      </w:r>
      <w:bookmarkEnd w:id="3"/>
    </w:p>
    <w:p>
      <w:pPr>
        <w:pStyle w:val="3"/>
        <w:spacing w:before="0" w:after="0" w:line="576" w:lineRule="exact"/>
        <w:ind w:firstLine="625"/>
        <w:rPr>
          <w:rFonts w:ascii="方正仿宋简体" w:eastAsia="方正仿宋简体"/>
        </w:rPr>
      </w:pPr>
      <w:bookmarkStart w:id="4" w:name="_Toc21896"/>
      <w:r>
        <w:rPr>
          <w:rFonts w:hint="eastAsia" w:ascii="方正仿宋简体" w:eastAsia="方正仿宋简体"/>
        </w:rPr>
        <w:t>（一）颜色级</w:t>
      </w:r>
      <w:r>
        <w:rPr>
          <w:rStyle w:val="15"/>
          <w:rFonts w:hint="eastAsia" w:ascii="方正仿宋简体" w:eastAsia="方正仿宋简体"/>
        </w:rPr>
        <w:footnoteReference w:id="2"/>
      </w:r>
      <w:bookmarkEnd w:id="4"/>
    </w:p>
    <w:p>
      <w:pPr>
        <w:pStyle w:val="23"/>
        <w:spacing w:line="576" w:lineRule="exact"/>
        <w:ind w:firstLine="622"/>
        <w:rPr>
          <w:rFonts w:ascii="方正仿宋简体" w:eastAsia="方正仿宋简体"/>
          <w:sz w:val="32"/>
          <w:szCs w:val="32"/>
        </w:rPr>
      </w:pPr>
      <w:r>
        <w:rPr>
          <w:rFonts w:hint="eastAsia" w:ascii="方正仿宋简体" w:eastAsia="方正仿宋简体"/>
          <w:sz w:val="32"/>
        </w:rPr>
        <w:t>颜色级指标是GB 1103.1-2012《棉花 第1部分：锯齿加工细绒棉》引入的棉花质量指标，它依据棉花的黄色深度（+b）确定类型，依据反射率（Rd%）反映出的明暗程度确定级别，通过类型和级别在颜色分级图中对应的区域确定棉花的颜色级。按照中国棉花颜色分级图，我国锯齿加工细绒棉共分为4种类型、13个颜色级，其中白棉3级为标准级。从类型来讲，白棉和淡点污棉使用价值较高；淡黄染棉由各种僵瓣棉和部分晚期次棉、污染棉、烂桃棉，或是淡点污棉变异而来，使用价值较低；黄染棉是</w:t>
      </w:r>
      <w:r>
        <w:rPr>
          <w:rFonts w:hint="eastAsia" w:ascii="方正仿宋简体" w:eastAsia="方正仿宋简体"/>
          <w:sz w:val="32"/>
          <w:szCs w:val="32"/>
        </w:rPr>
        <w:t>在特殊情况下才会出现的，因多年存储变异，或回潮率大的籽棉未及时晾晒而变黄，这类棉花品质极低。各个类型中，1级为最好。</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从2016/2017年度新体制棉花检验情况来看，西北内陆棉区的棉花颜色级指标最好，白棉所占比例最高，达到97.04%。黄河流域棉区整体颜色级指标介于西北内陆棉区和长江流域棉区水平之间，但本年度白棉比例反较长江流域为低，白棉占比大幅下滑。长江流域棉区颜色级指标也出现大幅滑坡，各省份淡点污棉占比均超过一半，其中安徽淡点污棉3级占比达到75.6%（见图3-1、3-1-1、图3-1-2、图3-1-3）。</w:t>
      </w:r>
    </w:p>
    <w:p>
      <w:pPr>
        <w:rPr>
          <w:rFonts w:ascii="仿宋_GB2312" w:eastAsia="仿宋_GB2312"/>
          <w:sz w:val="32"/>
          <w:szCs w:val="32"/>
        </w:rPr>
      </w:pPr>
      <w:r>
        <w:drawing>
          <wp:inline distT="0" distB="0" distL="0" distR="0">
            <wp:extent cx="5486400" cy="3762375"/>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仿宋_GB2312" w:eastAsia="仿宋_GB2312"/>
          <w:sz w:val="32"/>
          <w:szCs w:val="32"/>
        </w:rPr>
      </w:pPr>
      <w:r>
        <w:rPr>
          <w:rFonts w:ascii="仿宋_GB2312" w:eastAsia="仿宋_GB2312"/>
          <w:sz w:val="32"/>
          <w:szCs w:val="32"/>
        </w:rPr>
        <w:drawing>
          <wp:inline distT="0" distB="0" distL="0" distR="0">
            <wp:extent cx="5486400" cy="78486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rFonts w:ascii="仿宋_GB2312" w:eastAsia="仿宋_GB2312"/>
          <w:sz w:val="32"/>
          <w:szCs w:val="32"/>
        </w:rPr>
      </w:pPr>
      <w:r>
        <w:rPr>
          <w:rFonts w:ascii="仿宋_GB2312" w:eastAsia="仿宋_GB2312"/>
          <w:sz w:val="32"/>
          <w:szCs w:val="32"/>
        </w:rPr>
        <w:drawing>
          <wp:inline distT="0" distB="0" distL="0" distR="0">
            <wp:extent cx="5486400" cy="7953375"/>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rFonts w:ascii="仿宋_GB2312" w:eastAsia="仿宋_GB2312"/>
          <w:sz w:val="32"/>
          <w:szCs w:val="32"/>
        </w:rPr>
      </w:pPr>
      <w:r>
        <w:rPr>
          <w:rFonts w:ascii="仿宋_GB2312" w:eastAsia="仿宋_GB2312"/>
          <w:sz w:val="32"/>
          <w:szCs w:val="32"/>
        </w:rPr>
        <w:drawing>
          <wp:inline distT="0" distB="0" distL="0" distR="0">
            <wp:extent cx="5486400" cy="78486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仿宋_GB2312" w:eastAsia="仿宋_GB2312"/>
          <w:sz w:val="32"/>
          <w:szCs w:val="32"/>
        </w:rPr>
      </w:pPr>
      <w:r>
        <w:rPr>
          <w:rFonts w:ascii="仿宋_GB2312" w:eastAsia="仿宋_GB2312"/>
          <w:sz w:val="32"/>
          <w:szCs w:val="32"/>
        </w:rPr>
        <w:drawing>
          <wp:inline distT="0" distB="0" distL="0" distR="0">
            <wp:extent cx="5486400" cy="790575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3"/>
        <w:spacing w:line="576" w:lineRule="exact"/>
        <w:ind w:firstLine="622"/>
        <w:rPr>
          <w:rFonts w:hint="eastAsia" w:ascii="方正仿宋简体" w:eastAsia="方正仿宋简体"/>
          <w:sz w:val="32"/>
        </w:rPr>
      </w:pPr>
      <w:r>
        <w:rPr>
          <w:rFonts w:hint="eastAsia" w:ascii="方正仿宋简体" w:eastAsia="方正仿宋简体"/>
          <w:sz w:val="32"/>
        </w:rPr>
        <w:t>对比实施颜色级指标四年来的数据，我国棉花颜色级指标整体保持稳定，其中，2016/2017年度白棉占比较上年度减少了1.1个百分点，全国以白棉2级、3级为主，白棉1级、2级占比较上一年度减少16.3个百分点，但白棉3级较上一年度增加13.7个百分点；淡点污棉占比较上年度升高了0.7个百分点；淡黄染棉及黄染棉占比也均较上一年度有小幅升高（见图3-2、图3-3）。</w:t>
      </w:r>
    </w:p>
    <w:p>
      <w:pPr>
        <w:pStyle w:val="23"/>
        <w:spacing w:line="576" w:lineRule="exact"/>
        <w:ind w:firstLine="622"/>
        <w:rPr>
          <w:rFonts w:hint="eastAsia" w:ascii="方正仿宋简体" w:eastAsia="方正仿宋简体"/>
          <w:sz w:val="32"/>
        </w:rPr>
      </w:pPr>
    </w:p>
    <w:p>
      <w:pPr>
        <w:rPr>
          <w:rFonts w:ascii="仿宋_GB2312" w:eastAsia="仿宋_GB2312"/>
          <w:sz w:val="32"/>
        </w:rPr>
      </w:pPr>
      <w:r>
        <w:drawing>
          <wp:inline distT="0" distB="0" distL="0" distR="0">
            <wp:extent cx="5638800" cy="520065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3"/>
        <w:spacing w:before="0" w:after="0" w:line="576" w:lineRule="exact"/>
        <w:ind w:firstLine="625"/>
        <w:rPr>
          <w:rFonts w:ascii="方正仿宋简体" w:eastAsia="方正仿宋简体"/>
        </w:rPr>
      </w:pPr>
      <w:bookmarkStart w:id="5" w:name="_Toc24294"/>
      <w:r>
        <w:rPr>
          <w:rFonts w:hint="eastAsia" w:ascii="方正仿宋简体" w:eastAsia="方正仿宋简体"/>
        </w:rPr>
        <w:t>（二）轧工质量</w:t>
      </w:r>
      <w:r>
        <w:rPr>
          <w:rStyle w:val="15"/>
          <w:rFonts w:hint="eastAsia" w:ascii="方正仿宋简体" w:eastAsia="方正仿宋简体"/>
        </w:rPr>
        <w:footnoteReference w:id="3"/>
      </w:r>
      <w:bookmarkEnd w:id="5"/>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轧工质量是指籽棉经过加工后，皮棉外观形态粗糙程度及所含疵点种类的多少。</w:t>
      </w:r>
    </w:p>
    <w:p>
      <w:pPr>
        <w:adjustRightInd w:val="0"/>
        <w:snapToGrid w:val="0"/>
        <w:ind w:left="-606" w:leftChars="-300"/>
        <w:rPr>
          <w:rFonts w:ascii="仿宋_GB2312" w:eastAsia="仿宋_GB2312"/>
          <w:sz w:val="32"/>
        </w:rPr>
      </w:pPr>
      <w:r>
        <w:drawing>
          <wp:inline distT="0" distB="0" distL="0" distR="0">
            <wp:extent cx="6677025" cy="4657725"/>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从2016/2017年度新体制棉花检验情况来看，新疆棉的轧工质量为好的比例明显高于全国平均水平。天津棉花轧工质量为差的比例最高，为6.32%，由于机采棉加工方式的特性，新疆棉中轧工质量为差的比例也明显高于其他省份和全国平均水平。其他省份棉花轧工质量99%以上为中档（见图3-4）。</w:t>
      </w:r>
    </w:p>
    <w:p>
      <w:pPr>
        <w:pStyle w:val="3"/>
        <w:spacing w:before="0" w:after="0" w:line="576" w:lineRule="exact"/>
        <w:ind w:firstLine="625"/>
        <w:rPr>
          <w:rFonts w:ascii="方正仿宋简体" w:eastAsia="方正仿宋简体"/>
        </w:rPr>
      </w:pPr>
      <w:bookmarkStart w:id="6" w:name="_Toc5396"/>
      <w:r>
        <w:rPr>
          <w:rFonts w:hint="eastAsia" w:ascii="方正仿宋简体" w:eastAsia="方正仿宋简体"/>
        </w:rPr>
        <w:t>（三）长度</w:t>
      </w:r>
      <w:r>
        <w:rPr>
          <w:rFonts w:hint="eastAsia" w:ascii="方正仿宋简体" w:eastAsia="方正仿宋简体"/>
          <w:vertAlign w:val="superscript"/>
        </w:rPr>
        <w:footnoteReference w:id="4"/>
      </w:r>
      <w:bookmarkEnd w:id="6"/>
    </w:p>
    <w:p>
      <w:pPr>
        <w:spacing w:line="576" w:lineRule="exact"/>
        <w:ind w:firstLine="612" w:firstLineChars="196"/>
        <w:rPr>
          <w:rFonts w:ascii="方正仿宋简体" w:eastAsia="方正仿宋简体"/>
          <w:sz w:val="32"/>
        </w:rPr>
      </w:pPr>
      <w:r>
        <w:rPr>
          <w:rFonts w:hint="eastAsia" w:ascii="方正仿宋简体" w:eastAsia="方正仿宋简体"/>
          <w:sz w:val="32"/>
        </w:rPr>
        <w:t>长度是棉花最重要的内在质量指标之一，与棉花的整体使用价值密切相关。细绒棉的长度由25毫米级至32毫米级依次分为八个长度级，其中28毫米级为标准级，30-32毫米级的棉花使用价值较高，25-26毫米级的棉花使用价值较低。</w:t>
      </w:r>
    </w:p>
    <w:p>
      <w:pPr>
        <w:rPr>
          <w:rFonts w:ascii="仿宋_GB2312" w:eastAsia="仿宋_GB2312"/>
          <w:sz w:val="32"/>
        </w:rPr>
      </w:pPr>
      <w:r>
        <w:rPr>
          <w:rFonts w:ascii="仿宋_GB2312" w:eastAsia="仿宋_GB2312"/>
          <w:sz w:val="32"/>
        </w:rPr>
        <w:drawing>
          <wp:inline distT="0" distB="0" distL="0" distR="0">
            <wp:extent cx="5486400" cy="5495925"/>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2016/2017年度，全国新体制棉花细绒棉逐包检验平均长度</w:t>
      </w:r>
      <w:r>
        <w:rPr>
          <w:rStyle w:val="15"/>
          <w:rFonts w:hint="eastAsia" w:ascii="方正仿宋简体" w:eastAsia="方正仿宋简体"/>
          <w:sz w:val="32"/>
        </w:rPr>
        <w:footnoteReference w:id="5"/>
      </w:r>
      <w:r>
        <w:rPr>
          <w:rFonts w:hint="eastAsia" w:ascii="方正仿宋简体" w:eastAsia="方正仿宋简体"/>
          <w:sz w:val="32"/>
        </w:rPr>
        <w:t>为29.02毫米；长度级加权平均值</w:t>
      </w:r>
      <w:r>
        <w:rPr>
          <w:rStyle w:val="15"/>
          <w:rFonts w:hint="eastAsia" w:ascii="方正仿宋简体" w:eastAsia="方正仿宋简体"/>
          <w:sz w:val="32"/>
        </w:rPr>
        <w:footnoteReference w:id="6"/>
      </w:r>
      <w:r>
        <w:rPr>
          <w:rFonts w:hint="eastAsia" w:ascii="方正仿宋简体" w:eastAsia="方正仿宋简体"/>
          <w:sz w:val="32"/>
        </w:rPr>
        <w:t>为28.58毫米。从各产棉省棉花逐包检验平均长度看，新疆棉花长度最长，达到29.05毫米，同时也大幅拉高了全国平均值；其他省份棉花长度均集中在28.20-28.70毫米之间（见图3-5）。总体来看，各长度级占比中，新疆棉花集中在28-30毫米，其他省份棉花集中在27-29毫米（见图3-6）。</w:t>
      </w:r>
    </w:p>
    <w:p>
      <w:pPr>
        <w:ind w:left="-808" w:leftChars="-400"/>
        <w:rPr>
          <w:rFonts w:ascii="仿宋_GB2312" w:eastAsia="仿宋_GB2312"/>
          <w:sz w:val="32"/>
        </w:rPr>
      </w:pPr>
      <w:r>
        <w:drawing>
          <wp:inline distT="0" distB="0" distL="0" distR="0">
            <wp:extent cx="6515100" cy="473392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对比近5个年度的数据，2016/2017年度棉花长度较前四年有较大提升，其中，逐包检验平均长度较上一年度增加0.52毫米，比近五年平均水平高0.44毫米；长度级加权平均值较上年度增加0.53毫米，比近五年全国平均水平高0.44毫米。全国长度级低于长度标准级的棉花占比为7.55%，比上一年度减少18.75个百分点，30-32毫米长度级的棉花占比首次突破10%，达到11.11%，较上一年度增加6.74个百分点（见图3-7）。</w:t>
      </w:r>
    </w:p>
    <w:p>
      <w:pPr>
        <w:pStyle w:val="23"/>
        <w:spacing w:line="576" w:lineRule="exact"/>
        <w:ind w:firstLine="622"/>
        <w:rPr>
          <w:rFonts w:ascii="方正仿宋简体" w:eastAsia="方正仿宋简体"/>
          <w:sz w:val="32"/>
        </w:rPr>
      </w:pPr>
    </w:p>
    <w:p>
      <w:pPr>
        <w:rPr>
          <w:rFonts w:ascii="仿宋_GB2312" w:eastAsia="仿宋_GB2312"/>
          <w:sz w:val="32"/>
        </w:rPr>
      </w:pPr>
      <w:r>
        <w:drawing>
          <wp:inline distT="0" distB="0" distL="0" distR="0">
            <wp:extent cx="5762625" cy="4857750"/>
            <wp:effectExtent l="0" t="0" r="9525"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3"/>
        <w:spacing w:before="0" w:after="0" w:line="576" w:lineRule="exact"/>
        <w:ind w:firstLine="625"/>
        <w:rPr>
          <w:rFonts w:ascii="方正仿宋简体" w:eastAsia="方正仿宋简体"/>
        </w:rPr>
      </w:pPr>
      <w:bookmarkStart w:id="7" w:name="_Toc8420"/>
      <w:r>
        <w:rPr>
          <w:rFonts w:hint="eastAsia" w:ascii="方正仿宋简体" w:eastAsia="方正仿宋简体"/>
        </w:rPr>
        <w:t>（四）马克隆值</w:t>
      </w:r>
      <w:r>
        <w:rPr>
          <w:rFonts w:hint="eastAsia" w:ascii="方正仿宋简体" w:eastAsia="方正仿宋简体"/>
          <w:vertAlign w:val="superscript"/>
        </w:rPr>
        <w:footnoteReference w:id="7"/>
      </w:r>
      <w:bookmarkEnd w:id="7"/>
    </w:p>
    <w:p>
      <w:pPr>
        <w:pStyle w:val="23"/>
        <w:spacing w:line="576" w:lineRule="exact"/>
        <w:ind w:firstLine="622"/>
        <w:rPr>
          <w:rFonts w:ascii="方正仿宋简体" w:eastAsia="方正仿宋简体"/>
          <w:sz w:val="32"/>
        </w:rPr>
      </w:pPr>
      <w:r>
        <w:rPr>
          <w:rFonts w:hint="eastAsia" w:ascii="方正仿宋简体" w:eastAsia="方正仿宋简体"/>
          <w:sz w:val="32"/>
        </w:rPr>
        <w:t>马克隆值是棉花细度和成熟度的综合反映，是棉花主要的内在质量指标之一，与成纱质量有密切的关系。棉花的马</w:t>
      </w:r>
      <w:r>
        <w:rPr>
          <w:rFonts w:hint="eastAsia" w:ascii="方正仿宋简体" w:eastAsia="方正仿宋简体"/>
          <w:sz w:val="32"/>
          <w:szCs w:val="32"/>
        </w:rPr>
        <w:t>克隆值越高，一般棉纤维成熟度越好；马克隆值过高，则成熟过度，纤维较粗，纤维抱合力差、成纱强力和条干均匀度不理想；马克隆值过低、细度过小、成熟不足，则容易产生有害疵点，织物染色性能差；只有马克隆值适中，棉花的细度适中、成熟适中，才具有较高的纺纱性能，获得较全面的使用价值。</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细绒棉的马克隆值共分为三级五档，按马克隆值从低到高依次是C级的C1档、B级的B1档、A级的A档、B级的B2档、C级的C2档。马克隆值级A级的使用价值较好，B级的使用价值正常，C级的使用价值较差。</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2016/2017年度，全国新体制棉花细绒棉马克隆值级A级占比12.32%，较上年度提高4.52个百分点；C级占比20.58%，较上年度降低17.68个百分点；B级占比67.11%，较上年度上升13.18个百分点。总体来看，各产棉省份中，湖北、安徽、甘肃、新疆的棉花马克隆值A档占比均高于全国平均水平，但湖北、安徽C档占比也高于全国平均水平，棉花马克隆值分布离散值较大；天津棉花C2档占比达到98.07%，棉纤维细度值过大、成熟过度问题突出，马克隆值指标最差（见图3-8）。</w:t>
      </w:r>
    </w:p>
    <w:p>
      <w:pPr>
        <w:pStyle w:val="23"/>
        <w:ind w:left="-606" w:leftChars="-300" w:firstLine="0" w:firstLineChars="0"/>
        <w:rPr>
          <w:rFonts w:ascii="仿宋_GB2312" w:eastAsia="仿宋_GB2312"/>
          <w:sz w:val="32"/>
          <w:szCs w:val="32"/>
        </w:rPr>
      </w:pPr>
      <w:r>
        <w:rPr>
          <w:rFonts w:ascii="仿宋_GB2312" w:eastAsia="仿宋_GB2312"/>
          <w:sz w:val="32"/>
          <w:szCs w:val="32"/>
        </w:rPr>
        <w:drawing>
          <wp:inline distT="0" distB="0" distL="0" distR="0">
            <wp:extent cx="6410325" cy="4991100"/>
            <wp:effectExtent l="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对比近5个年度的数据，2016/2017年度马克隆值指标较上一年度有所好转，但还远低于五年平均水平，主要表现在，马克隆值A级的占比12.32%，比近五年平均水平低了10.96个百分点；马克隆值C档的占比为20.58%，比五年平均水平高了0.95个百分点（见图3-9）。</w:t>
      </w:r>
    </w:p>
    <w:p>
      <w:pPr>
        <w:pStyle w:val="23"/>
        <w:ind w:firstLine="0" w:firstLineChars="0"/>
        <w:rPr>
          <w:rFonts w:ascii="仿宋_GB2312" w:eastAsia="仿宋_GB2312"/>
          <w:sz w:val="32"/>
        </w:rPr>
      </w:pPr>
      <w:r>
        <w:rPr>
          <w:rFonts w:ascii="仿宋_GB2312" w:eastAsia="仿宋_GB2312"/>
          <w:sz w:val="32"/>
        </w:rPr>
        <w:drawing>
          <wp:inline distT="0" distB="0" distL="0" distR="0">
            <wp:extent cx="5486400" cy="4914900"/>
            <wp:effectExtent l="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3"/>
        <w:spacing w:before="0" w:after="0" w:line="576" w:lineRule="exact"/>
        <w:ind w:firstLine="625"/>
        <w:rPr>
          <w:rFonts w:ascii="方正仿宋简体" w:eastAsia="方正仿宋简体"/>
        </w:rPr>
      </w:pPr>
      <w:bookmarkStart w:id="8" w:name="_Toc17111"/>
      <w:r>
        <w:rPr>
          <w:rFonts w:hint="eastAsia" w:ascii="方正仿宋简体" w:eastAsia="方正仿宋简体"/>
        </w:rPr>
        <w:t>（五）断裂比强度</w:t>
      </w:r>
      <w:r>
        <w:rPr>
          <w:rFonts w:hint="eastAsia" w:ascii="方正仿宋简体" w:eastAsia="方正仿宋简体"/>
          <w:vertAlign w:val="superscript"/>
        </w:rPr>
        <w:footnoteReference w:id="8"/>
      </w:r>
      <w:bookmarkEnd w:id="8"/>
    </w:p>
    <w:p>
      <w:pPr>
        <w:pStyle w:val="23"/>
        <w:spacing w:line="576" w:lineRule="exact"/>
        <w:ind w:firstLine="622"/>
        <w:rPr>
          <w:rFonts w:ascii="方正仿宋简体" w:eastAsia="方正仿宋简体"/>
          <w:sz w:val="32"/>
        </w:rPr>
      </w:pPr>
      <w:r>
        <w:rPr>
          <w:rFonts w:hint="eastAsia" w:ascii="方正仿宋简体" w:eastAsia="方正仿宋简体"/>
          <w:sz w:val="32"/>
        </w:rPr>
        <w:t>断裂比强度是重要的棉花内在质量指标，与纱线的成纱强力有很好的相关性。细绒棉按断裂比强度值和使用价值从高到低依次分五个档，即很强、强、中等、差、很差。</w:t>
      </w:r>
    </w:p>
    <w:p>
      <w:pPr>
        <w:pStyle w:val="23"/>
        <w:spacing w:line="576" w:lineRule="exact"/>
        <w:ind w:firstLine="622"/>
        <w:jc w:val="left"/>
        <w:rPr>
          <w:rFonts w:ascii="方正仿宋简体" w:eastAsia="方正仿宋简体"/>
          <w:sz w:val="32"/>
        </w:rPr>
      </w:pPr>
      <w:r>
        <w:rPr>
          <w:rFonts w:hint="eastAsia" w:ascii="方正仿宋简体" w:eastAsia="方正仿宋简体"/>
          <w:sz w:val="32"/>
        </w:rPr>
        <w:t>2016/2017年度，全国新体制棉花细绒棉平均断裂比强度值27.94cN/tex，较上年度下降了0.29cN/tex。</w:t>
      </w:r>
    </w:p>
    <w:p>
      <w:pPr>
        <w:pStyle w:val="23"/>
        <w:ind w:left="-606" w:leftChars="-300" w:firstLine="0" w:firstLineChars="0"/>
        <w:jc w:val="left"/>
        <w:rPr>
          <w:rFonts w:ascii="仿宋_GB2312" w:eastAsia="仿宋_GB2312"/>
          <w:sz w:val="32"/>
        </w:rPr>
      </w:pPr>
      <w:r>
        <w:rPr>
          <w:rFonts w:ascii="仿宋_GB2312" w:eastAsia="仿宋_GB2312"/>
          <w:sz w:val="32"/>
        </w:rPr>
        <w:drawing>
          <wp:inline distT="0" distB="0" distL="0" distR="0">
            <wp:extent cx="6515100" cy="4391025"/>
            <wp:effectExtent l="0" t="0" r="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各产棉省份中，湖南棉花平均断裂比强度仍占据首位且有较大提升，为30.83cN/tex，较上一年度提升1.06cN/tex；其次是山东，为30.37cN/tex，提升1.16cN/tex；湖北、天津、河北、甘肃、安徽棉花断裂比强度均在29.0cN/tex以上，其中，天津棉花断裂比强度提升1.79cN/tex，在各省中提升幅度最大；全国最主要产棉区新疆棉花平均断裂比强度为27.83cN/tex，较上年度下降0.32cN/tex（见图3-10、图3-11）。</w:t>
      </w:r>
    </w:p>
    <w:p>
      <w:pPr>
        <w:pStyle w:val="23"/>
        <w:ind w:firstLine="0" w:firstLineChars="0"/>
        <w:rPr>
          <w:rFonts w:ascii="仿宋_GB2312" w:eastAsia="仿宋_GB2312"/>
          <w:sz w:val="32"/>
        </w:rPr>
      </w:pPr>
      <w:r>
        <w:rPr>
          <w:rFonts w:ascii="仿宋_GB2312" w:eastAsia="仿宋_GB2312"/>
          <w:sz w:val="32"/>
        </w:rPr>
        <w:drawing>
          <wp:inline distT="0" distB="0" distL="0" distR="0">
            <wp:extent cx="5486400" cy="49911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23"/>
        <w:ind w:firstLine="622"/>
        <w:rPr>
          <w:rFonts w:ascii="方正仿宋简体" w:eastAsia="方正仿宋简体"/>
          <w:sz w:val="32"/>
        </w:rPr>
      </w:pPr>
    </w:p>
    <w:p>
      <w:pPr>
        <w:pStyle w:val="23"/>
        <w:ind w:firstLine="622"/>
        <w:rPr>
          <w:rFonts w:ascii="方正仿宋简体" w:eastAsia="方正仿宋简体"/>
          <w:sz w:val="32"/>
        </w:rPr>
      </w:pPr>
      <w:r>
        <w:rPr>
          <w:rFonts w:hint="eastAsia" w:ascii="方正仿宋简体" w:eastAsia="方正仿宋简体"/>
          <w:sz w:val="32"/>
        </w:rPr>
        <w:t>对比近5个年度的数据，2016/2017年度棉花断裂比强度指标降幅较大，强及以上占比有所降低，中等占比基本持平，差及以下占比增加较多。断裂比强度平均值直线下滑，为5年来最低水平（见图3-12）。</w:t>
      </w:r>
    </w:p>
    <w:p>
      <w:pPr>
        <w:pStyle w:val="23"/>
        <w:ind w:firstLine="0" w:firstLineChars="0"/>
        <w:rPr>
          <w:rFonts w:ascii="仿宋_GB2312" w:eastAsia="仿宋_GB2312"/>
          <w:sz w:val="32"/>
        </w:rPr>
      </w:pPr>
      <w:r>
        <w:rPr>
          <w:rFonts w:ascii="仿宋_GB2312" w:eastAsia="仿宋_GB2312"/>
          <w:sz w:val="32"/>
        </w:rPr>
        <w:drawing>
          <wp:inline distT="0" distB="0" distL="0" distR="0">
            <wp:extent cx="5686425" cy="5429250"/>
            <wp:effectExtent l="0" t="0" r="0" b="0"/>
            <wp:docPr id="613" name="图表 6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3"/>
        <w:spacing w:before="0" w:after="0" w:line="576" w:lineRule="exact"/>
        <w:ind w:firstLine="625"/>
        <w:rPr>
          <w:rFonts w:ascii="方正仿宋简体" w:eastAsia="方正仿宋简体"/>
        </w:rPr>
      </w:pPr>
      <w:bookmarkStart w:id="9" w:name="_Toc23427"/>
      <w:r>
        <w:rPr>
          <w:rFonts w:hint="eastAsia" w:ascii="方正仿宋简体" w:eastAsia="方正仿宋简体"/>
        </w:rPr>
        <w:t>（六）长度整齐度指数</w:t>
      </w:r>
      <w:r>
        <w:rPr>
          <w:rFonts w:hint="eastAsia" w:ascii="方正仿宋简体" w:eastAsia="方正仿宋简体"/>
          <w:vertAlign w:val="superscript"/>
        </w:rPr>
        <w:footnoteReference w:id="9"/>
      </w:r>
      <w:bookmarkEnd w:id="9"/>
    </w:p>
    <w:p>
      <w:pPr>
        <w:pStyle w:val="23"/>
        <w:spacing w:line="576" w:lineRule="exact"/>
        <w:ind w:firstLine="622"/>
        <w:rPr>
          <w:rFonts w:ascii="方正仿宋简体" w:eastAsia="方正仿宋简体"/>
          <w:sz w:val="32"/>
        </w:rPr>
      </w:pPr>
      <w:r>
        <w:rPr>
          <w:rFonts w:hint="eastAsia" w:ascii="方正仿宋简体" w:eastAsia="方正仿宋简体"/>
          <w:sz w:val="32"/>
        </w:rPr>
        <w:t>长度整齐度指数是重要的棉花质量指标，用以表示棉纤维长度分布均匀或整齐的程度，对纱线的条干、落棉率有重要影响，同时对纱线的强度也有影响。细绒棉按长度整齐度指数和使用价值从高到低依次分为五个档，分别是很高、高、中等、低、很低。</w:t>
      </w:r>
    </w:p>
    <w:p>
      <w:pPr>
        <w:pStyle w:val="23"/>
        <w:ind w:left="-404" w:leftChars="-200" w:firstLine="0" w:firstLineChars="0"/>
        <w:rPr>
          <w:rFonts w:ascii="仿宋_GB2312" w:eastAsia="仿宋_GB2312"/>
          <w:sz w:val="32"/>
        </w:rPr>
      </w:pPr>
      <w:r>
        <w:rPr>
          <w:rFonts w:ascii="仿宋_GB2312" w:eastAsia="仿宋_GB2312"/>
          <w:sz w:val="32"/>
        </w:rPr>
        <w:drawing>
          <wp:inline distT="0" distB="0" distL="0" distR="0">
            <wp:extent cx="6286500" cy="5419725"/>
            <wp:effectExtent l="0" t="0" r="0" b="0"/>
            <wp:docPr id="614" name="图表 6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2016/2017年度，全国新体制棉花细绒棉平均长度整齐度指数82.91%，比上年度平均值高出0.23个百分点，棉花长度整齐度指数进一步提升。长度整齐度指数为很高和高档的棉花占比较多的省份是天津、甘肃、新疆，占比都在50%以上，高于全国平均水平；其次是河北，占比为45.88%，江苏、湖北棉花长度整齐度指数为低和很低档的占比明显多于其他省份（见图3-13）。</w:t>
      </w:r>
    </w:p>
    <w:p>
      <w:pPr>
        <w:pStyle w:val="23"/>
        <w:ind w:firstLine="622"/>
        <w:rPr>
          <w:rFonts w:ascii="方正仿宋简体" w:eastAsia="方正仿宋简体"/>
          <w:color w:val="FF0000"/>
          <w:sz w:val="32"/>
        </w:rPr>
      </w:pPr>
      <w:r>
        <w:rPr>
          <w:rFonts w:ascii="方正仿宋简体" w:eastAsia="方正仿宋简体"/>
          <w:color w:val="FF0000"/>
          <w:sz w:val="32"/>
        </w:rPr>
        <w:drawing>
          <wp:inline distT="0" distB="0" distL="0" distR="0">
            <wp:extent cx="5486400" cy="58674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各产棉省份中，除新疆、天津、河北外，各省长度整齐度指数均有较大幅度的降低，但新疆在本年度平均长度整齐度指数达到82.93%，比上一年度高0.23个百分点，拉高了全国平均值；在去年表现突出的湖北、安徽两省棉花平均长度整齐度指数今年也出现回落，总体来说，各产棉区棉花长度整齐度指标波动较大（见图3-14）。</w:t>
      </w:r>
    </w:p>
    <w:p>
      <w:pPr>
        <w:pStyle w:val="23"/>
        <w:spacing w:line="576" w:lineRule="exact"/>
        <w:ind w:firstLine="622"/>
        <w:rPr>
          <w:rFonts w:ascii="仿宋_GB2312" w:eastAsia="仿宋_GB2312"/>
          <w:sz w:val="32"/>
        </w:rPr>
      </w:pPr>
      <w:r>
        <w:rPr>
          <w:rFonts w:hint="eastAsia" w:ascii="方正仿宋简体" w:eastAsia="方正仿宋简体"/>
          <w:sz w:val="32"/>
        </w:rPr>
        <w:t>对比近5个年度的数据，2016/2017年度全国棉花长度整齐度指数表现突出，其中平均长度整齐度指数再攀新高达到82.91%，低及以下档的占比再度下降，比上一年度降低0.22个百分点；高及以上档的占比较上一年度增加9.6个百分点，达到50.07%（见图3-15）。</w:t>
      </w:r>
    </w:p>
    <w:p>
      <w:pPr>
        <w:pStyle w:val="23"/>
        <w:ind w:firstLine="0" w:firstLineChars="0"/>
        <w:rPr>
          <w:rFonts w:ascii="仿宋_GB2312" w:eastAsia="仿宋_GB2312"/>
          <w:sz w:val="32"/>
        </w:rPr>
      </w:pPr>
      <w:r>
        <w:rPr>
          <w:rFonts w:ascii="仿宋_GB2312" w:eastAsia="仿宋_GB2312"/>
          <w:sz w:val="32"/>
        </w:rPr>
        <w:drawing>
          <wp:inline distT="0" distB="0" distL="0" distR="0">
            <wp:extent cx="5762625" cy="4514850"/>
            <wp:effectExtent l="0" t="0" r="952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3"/>
        <w:spacing w:before="0" w:after="0" w:line="576" w:lineRule="exact"/>
        <w:ind w:firstLine="625"/>
        <w:rPr>
          <w:rFonts w:ascii="方正仿宋简体" w:eastAsia="方正仿宋简体"/>
        </w:rPr>
      </w:pPr>
      <w:bookmarkStart w:id="10" w:name="_Toc27108"/>
      <w:r>
        <w:rPr>
          <w:rFonts w:hint="eastAsia" w:ascii="方正仿宋简体" w:eastAsia="方正仿宋简体"/>
        </w:rPr>
        <w:t>（七）综合评价</w:t>
      </w:r>
      <w:bookmarkEnd w:id="10"/>
    </w:p>
    <w:p>
      <w:pPr>
        <w:pStyle w:val="23"/>
        <w:spacing w:line="576" w:lineRule="exact"/>
        <w:ind w:firstLine="622"/>
        <w:rPr>
          <w:rFonts w:ascii="方正仿宋简体" w:eastAsia="方正仿宋简体"/>
          <w:sz w:val="32"/>
        </w:rPr>
      </w:pPr>
      <w:r>
        <w:rPr>
          <w:rFonts w:hint="eastAsia" w:ascii="方正仿宋简体" w:eastAsia="方正仿宋简体"/>
          <w:sz w:val="32"/>
        </w:rPr>
        <w:t>2016/2017年度全国新体制棉花细绒棉各项质量指标表现差异较大。从颜色和轧工质量来看，颜色级指标区域化差异较为明显，近年来各区域检验量占比逐渐趋于稳定，因此颜色级指标变化不大，以白棉为主，且绝大多数都集中在白棉2级与白棉3级两档；其中，黄河流域及长江流域棉区颜色级指标下降较多，淡点污棉及淡黄染棉占比大幅提升，全国棉花颜色级指标也稍有下降。轧工质量主要集中在中档，中档及以上占比达到97.29%；除天津外，全国各省份轧工质量为中档及以上的棉花比例均占到95%以上，安徽、湖南达到100%。从纤维长度来看，平均长度大幅提升，平均长度整齐度指数也显著提高，其中，长度指标体现在30-32毫米长度级与28-29毫米长度级的棉花占比均大幅增加，逐包检验平均长度较上一年度增加0.52毫米；长度整齐度指数指标表现在高及以上档的棉花占比大幅增加，低及以下档的棉花也略有减少，平均长度整齐度指数再攀新高，有关纤维长度的两项指标均表现良好。从纤维内在品质来看，马克隆值和断裂比强度两项指标表现一般；其中，马克隆值指标较上一年度有所提升，A级占比增加，C2档过成熟棉占比大幅减少，但总体来说并不尽如人意，与五年平均水平相比还有一定差距；平均断裂比强度指标明显下降，为五年最低水平，差及以下占比几乎为上一年度两倍。作为全国最大棉花产区新疆2016/2017年度棉花各项质量指标与上年度相比，平均长度提高0.52毫米、长度整齐度增加0.23个百分点、马克隆值A+B级占比增加了17.56个百分点、平均断裂比强度降低0.32cN/tex，总体质量状况略好于2015/2016年度。</w:t>
      </w:r>
    </w:p>
    <w:p>
      <w:pPr>
        <w:pStyle w:val="2"/>
        <w:spacing w:before="0" w:beforeAutospacing="0" w:after="0" w:afterAutospacing="0" w:line="576" w:lineRule="exact"/>
        <w:ind w:firstLine="622"/>
        <w:jc w:val="both"/>
        <w:rPr>
          <w:rFonts w:hint="eastAsia" w:ascii="黑体" w:hAnsi="黑体" w:eastAsia="黑体"/>
          <w:b w:val="0"/>
          <w:sz w:val="32"/>
        </w:rPr>
      </w:pPr>
      <w:bookmarkStart w:id="11" w:name="_Toc31174"/>
    </w:p>
    <w:p>
      <w:pPr>
        <w:pStyle w:val="2"/>
        <w:spacing w:before="0" w:beforeAutospacing="0" w:after="0" w:afterAutospacing="0" w:line="576" w:lineRule="exact"/>
        <w:ind w:firstLine="622"/>
        <w:jc w:val="both"/>
        <w:rPr>
          <w:rFonts w:ascii="黑体" w:hAnsi="黑体" w:eastAsia="黑体"/>
          <w:b w:val="0"/>
          <w:sz w:val="32"/>
        </w:rPr>
      </w:pPr>
      <w:r>
        <w:rPr>
          <w:rFonts w:hint="eastAsia" w:ascii="黑体" w:hAnsi="黑体" w:eastAsia="黑体"/>
          <w:b w:val="0"/>
          <w:sz w:val="32"/>
        </w:rPr>
        <w:t>四、质量影响因素分析</w:t>
      </w:r>
      <w:bookmarkEnd w:id="11"/>
    </w:p>
    <w:p>
      <w:pPr>
        <w:pStyle w:val="23"/>
        <w:spacing w:line="576" w:lineRule="exact"/>
        <w:ind w:firstLine="622"/>
        <w:rPr>
          <w:rFonts w:ascii="方正仿宋简体" w:eastAsia="方正仿宋简体"/>
          <w:sz w:val="32"/>
        </w:rPr>
      </w:pPr>
      <w:r>
        <w:rPr>
          <w:rFonts w:hint="eastAsia" w:ascii="方正仿宋简体" w:eastAsia="方正仿宋简体"/>
          <w:sz w:val="32"/>
        </w:rPr>
        <w:t>综合各地的情况来看，影响本年度棉花质量变化的因素主要包括自然条件、产业政策、市场形势、生产环节等几个方面。</w:t>
      </w:r>
    </w:p>
    <w:p>
      <w:pPr>
        <w:pStyle w:val="3"/>
        <w:spacing w:before="0" w:after="0" w:line="576" w:lineRule="exact"/>
        <w:ind w:firstLine="625"/>
        <w:rPr>
          <w:rFonts w:ascii="方正仿宋简体" w:eastAsia="方正仿宋简体"/>
        </w:rPr>
      </w:pPr>
      <w:bookmarkStart w:id="12" w:name="_Toc3198"/>
      <w:r>
        <w:rPr>
          <w:rFonts w:hint="eastAsia" w:ascii="方正仿宋简体" w:eastAsia="方正仿宋简体"/>
        </w:rPr>
        <w:t>（一）自然条件</w:t>
      </w:r>
      <w:bookmarkEnd w:id="12"/>
    </w:p>
    <w:p>
      <w:pPr>
        <w:pStyle w:val="23"/>
        <w:spacing w:line="576" w:lineRule="exact"/>
        <w:ind w:firstLine="622"/>
        <w:rPr>
          <w:rFonts w:ascii="方正仿宋简体" w:eastAsia="方正仿宋简体"/>
          <w:sz w:val="32"/>
        </w:rPr>
      </w:pPr>
      <w:r>
        <w:rPr>
          <w:rFonts w:hint="eastAsia" w:ascii="方正仿宋简体" w:eastAsia="方正仿宋简体"/>
          <w:sz w:val="32"/>
        </w:rPr>
        <w:t>地理位置的气候特点和年度内的气候变化是影响棉花质量波动的决定性因素。据分析，2016年，在播种及幼苗生长阶段，全国棉区平均气温较常年同期偏高，平均日照时数偏少，平均降水量偏多。西北和黄河流域棉区大部气象条件较好，适宜棉花播种出苗；但黄河流域东部部分棉区降水偏少，墒情下降，棉花适时播种受到一定影响。长江流域棉区出现较强降水天气，造成部分棉田土壤过湿，不利棉花播种。西北棉区大部棉花进入出苗期较早，发育期比常年偏早3～9天。黄河流域和长江流域棉区棉花大部发育期比常年提前1～6天，仅山西棉花发育期推迟6天左右。在蕾铃期，全国棉区平均气温较常年同期偏高，平均日照时数偏多，平均降水量偏多。西北内陆棉区大部温高光足，利于棉花现蕾开花。黄河流域棉区降水充沛，棉区墒情进一步改善。长江流域棉区强降水过程频繁，导致部分棉田出现湿渍害和洪涝灾害，造成棉花幼蕾脱落、叶片发黄。在裂铃吐絮和采摘期，全国棉区平均气温较常年同期偏高，平均日照时数较常年同期偏多，平均降水量较常年同期偏少。北疆、黄河流域和长江流域棉区大部气象条件较好，利于棉花后期生长及裂铃吐絮；但南疆棉区降水偏多，江淮东部棉区先后受台风“莫兰蒂”和“鲇鱼”影响，出现大风和较强降水，导致部分棉花倒伏，裂铃吐絮和采摘晾晒也受到一定影响。</w:t>
      </w:r>
    </w:p>
    <w:p>
      <w:pPr>
        <w:pStyle w:val="3"/>
        <w:spacing w:before="0" w:after="0" w:line="576" w:lineRule="exact"/>
        <w:ind w:firstLine="625"/>
        <w:rPr>
          <w:rFonts w:ascii="方正仿宋简体" w:eastAsia="方正仿宋简体"/>
        </w:rPr>
      </w:pPr>
      <w:bookmarkStart w:id="13" w:name="_Toc29420"/>
      <w:r>
        <w:rPr>
          <w:rFonts w:hint="eastAsia" w:ascii="方正仿宋简体" w:eastAsia="方正仿宋简体"/>
        </w:rPr>
        <w:t>（二）产业政策</w:t>
      </w:r>
      <w:bookmarkEnd w:id="13"/>
    </w:p>
    <w:p>
      <w:pPr>
        <w:spacing w:line="576" w:lineRule="exact"/>
        <w:ind w:firstLine="624" w:firstLineChars="200"/>
        <w:rPr>
          <w:rFonts w:ascii="方正仿宋简体" w:hAnsi="仿宋" w:eastAsia="方正仿宋简体"/>
          <w:color w:val="000000"/>
          <w:kern w:val="0"/>
          <w:sz w:val="32"/>
          <w:szCs w:val="32"/>
        </w:rPr>
      </w:pPr>
      <w:r>
        <w:rPr>
          <w:rFonts w:hint="eastAsia" w:ascii="方正仿宋简体" w:hAnsi="仿宋" w:eastAsia="方正仿宋简体"/>
          <w:color w:val="000000"/>
          <w:kern w:val="0"/>
          <w:sz w:val="32"/>
          <w:szCs w:val="32"/>
        </w:rPr>
        <w:t>按照国务院关于完善农产品价格形成和市场调控机制的部署，自</w:t>
      </w:r>
      <w:r>
        <w:rPr>
          <w:rFonts w:hint="eastAsia" w:ascii="方正仿宋简体" w:eastAsia="方正仿宋简体"/>
          <w:sz w:val="32"/>
        </w:rPr>
        <w:t>2014/2015年度起</w:t>
      </w:r>
      <w:r>
        <w:rPr>
          <w:rFonts w:hint="eastAsia" w:ascii="方正仿宋简体" w:hAnsi="仿宋" w:eastAsia="方正仿宋简体"/>
          <w:color w:val="000000"/>
          <w:kern w:val="0"/>
          <w:sz w:val="32"/>
          <w:szCs w:val="32"/>
        </w:rPr>
        <w:t>，国家取消了临时收储政策，实施棉花目标价格补贴政策，并在新疆启动了棉花目标价格改革试点。2016/2017年度是改革试点的第三个年度，国内棉花形势发生了很大的变化。一是棉价向市场化靠拢倒逼棉花质量。目标价格政策的实施，实现了市场调控的“价补分离”，将棉农和棉企推向市场，立足“消费导向”引导棉农生产棉企加工，提高用棉企业在市场交易中的话语权，充分发挥市场机制在价格形成和资源配置中的决定性作用，要求从棉农到加工企业更加注重棉花内在质量，棉花的一致性得到进一步增强。二是实现了更精准的保本有余。目标价格试点后，国家将专项补贴资金通过基层政府直接发给农民，不再有中间环节漏损，也不再产生储备棉库存费用和利息支出，资金补贴效率大幅提高。三是棉区更加向新疆集中。实行目标价格改革后，新疆棉花产量占到全国棉花的绝大部分，棉花生产向优势产区集中，更加有利于统一管理、机械耕作、病虫害防治和收购加工运销，为棉花专业化和现代化生产打下基础。2017年3月17日，国家发改委、财政部联合印发《关于深化棉花目标价格改革的通知》（发改价格〔2017〕516号），将棉花目标价格由试点期间的“一年一定”改为“三年一定”</w:t>
      </w:r>
      <w:r>
        <w:rPr>
          <w:rFonts w:hint="eastAsia" w:ascii="方正仿宋简体" w:hAnsi="仿宋" w:eastAsia="方正仿宋简体"/>
          <w:color w:val="000000"/>
          <w:kern w:val="0"/>
          <w:sz w:val="32"/>
          <w:szCs w:val="32"/>
          <w:lang w:eastAsia="zh-CN"/>
        </w:rPr>
        <w:t>，有力地引导了棉农预期，保障了棉花产量和质量的稳定</w:t>
      </w:r>
      <w:r>
        <w:rPr>
          <w:rFonts w:hint="eastAsia" w:ascii="方正仿宋简体" w:hAnsi="仿宋" w:eastAsia="方正仿宋简体"/>
          <w:color w:val="000000"/>
          <w:kern w:val="0"/>
          <w:sz w:val="32"/>
          <w:szCs w:val="32"/>
        </w:rPr>
        <w:t>。</w:t>
      </w:r>
    </w:p>
    <w:p>
      <w:pPr>
        <w:pStyle w:val="3"/>
        <w:spacing w:before="0" w:after="0" w:line="576" w:lineRule="exact"/>
        <w:ind w:firstLine="625"/>
        <w:rPr>
          <w:rFonts w:ascii="方正仿宋简体" w:eastAsia="方正仿宋简体"/>
        </w:rPr>
      </w:pPr>
      <w:bookmarkStart w:id="14" w:name="_Toc29390"/>
      <w:r>
        <w:rPr>
          <w:rFonts w:hint="eastAsia" w:ascii="方正仿宋简体" w:eastAsia="方正仿宋简体"/>
        </w:rPr>
        <w:t>（三）市场形势</w:t>
      </w:r>
      <w:bookmarkEnd w:id="14"/>
    </w:p>
    <w:p>
      <w:pPr>
        <w:spacing w:line="576" w:lineRule="exact"/>
        <w:ind w:firstLine="624" w:firstLineChars="200"/>
        <w:rPr>
          <w:rFonts w:ascii="方正仿宋简体" w:eastAsia="方正仿宋简体"/>
          <w:sz w:val="32"/>
        </w:rPr>
      </w:pPr>
      <w:r>
        <w:rPr>
          <w:rFonts w:hint="eastAsia" w:ascii="方正仿宋简体" w:eastAsia="方正仿宋简体"/>
          <w:sz w:val="32"/>
        </w:rPr>
        <w:t>2016/2017年度，国际</w:t>
      </w:r>
      <w:r>
        <w:rPr>
          <w:rFonts w:hint="eastAsia" w:ascii="方正仿宋简体" w:eastAsia="方正仿宋简体"/>
          <w:sz w:val="32"/>
          <w:lang w:eastAsia="zh-CN"/>
        </w:rPr>
        <w:t>棉花</w:t>
      </w:r>
      <w:r>
        <w:rPr>
          <w:rFonts w:hint="eastAsia" w:ascii="方正仿宋简体" w:eastAsia="方正仿宋简体"/>
          <w:sz w:val="32"/>
        </w:rPr>
        <w:t>总产量小幅上涨，国际棉花价格在经历了一年多的低价徘徊后，呈现波动走高态势。国内植棉面积及产量均有所下降，但因库存规模较大，棉花供给依然较为充足，棉花市场总体变化不大，纺织品消费依然较为低迷，纺织品服装出口萎缩，订单大幅减少，纺织企业产品库存较高，产能严重过剩，去库存压力较大。实行目标价格补贴政策以来，国内外棉花价格联动性大大增强，进口棉纱优势减弱，规模下降，棉纱生产回流国内。受到国内外棉花价差大幅缩小与国内棉花去库存压力较大，国家在棉花进口配额方面实施了收紧政策的原因，棉花进口规模大幅下降。棉花价格走出低谷，呈现恢复性上涨。</w:t>
      </w:r>
      <w:bookmarkStart w:id="21" w:name="_GoBack"/>
      <w:bookmarkEnd w:id="21"/>
    </w:p>
    <w:p>
      <w:pPr>
        <w:pStyle w:val="3"/>
        <w:spacing w:before="0" w:after="0" w:line="576" w:lineRule="exact"/>
        <w:ind w:firstLine="625"/>
        <w:rPr>
          <w:rFonts w:ascii="方正仿宋简体" w:eastAsia="方正仿宋简体"/>
        </w:rPr>
      </w:pPr>
      <w:bookmarkStart w:id="15" w:name="_Toc27864"/>
      <w:r>
        <w:rPr>
          <w:rFonts w:hint="eastAsia" w:ascii="方正仿宋简体" w:eastAsia="方正仿宋简体"/>
        </w:rPr>
        <w:t>（四）生产环节</w:t>
      </w:r>
      <w:bookmarkEnd w:id="15"/>
    </w:p>
    <w:p>
      <w:pPr>
        <w:pStyle w:val="23"/>
        <w:spacing w:line="576" w:lineRule="exact"/>
        <w:ind w:firstLine="625"/>
        <w:rPr>
          <w:rFonts w:ascii="方正仿宋简体" w:eastAsia="方正仿宋简体"/>
          <w:b/>
          <w:sz w:val="32"/>
          <w:szCs w:val="32"/>
        </w:rPr>
      </w:pPr>
      <w:r>
        <w:rPr>
          <w:rFonts w:hint="eastAsia" w:ascii="方正仿宋简体" w:eastAsia="方正仿宋简体"/>
          <w:b/>
          <w:sz w:val="32"/>
          <w:szCs w:val="32"/>
        </w:rPr>
        <w:t>1.品种影响</w:t>
      </w:r>
    </w:p>
    <w:p>
      <w:pPr>
        <w:pStyle w:val="23"/>
        <w:spacing w:line="576" w:lineRule="exact"/>
        <w:ind w:firstLine="622"/>
        <w:rPr>
          <w:rFonts w:ascii="方正仿宋简体" w:eastAsia="方正仿宋简体"/>
          <w:sz w:val="32"/>
        </w:rPr>
      </w:pPr>
      <w:r>
        <w:rPr>
          <w:rFonts w:hint="eastAsia" w:ascii="方正仿宋简体" w:eastAsia="方正仿宋简体"/>
          <w:sz w:val="32"/>
        </w:rPr>
        <w:t>品种是影响棉花质量的主要内在因素。我国的棉花品种繁多但优良性状突出的比较少，加之近年来</w:t>
      </w:r>
      <w:r>
        <w:rPr>
          <w:rFonts w:hint="eastAsia" w:ascii="方正仿宋简体" w:eastAsia="方正仿宋简体"/>
          <w:color w:val="000000" w:themeColor="text1"/>
          <w:sz w:val="32"/>
          <w14:textFill>
            <w14:solidFill>
              <w14:schemeClr w14:val="tx1"/>
            </w14:solidFill>
          </w14:textFill>
        </w:rPr>
        <w:t>供种渠道不断增加，品种更新换代加速，</w:t>
      </w:r>
      <w:r>
        <w:rPr>
          <w:rFonts w:hint="eastAsia" w:ascii="方正仿宋简体" w:eastAsia="方正仿宋简体"/>
          <w:sz w:val="32"/>
        </w:rPr>
        <w:t>种植品种混乱的问题很大程度上影响棉花的质量。由于近年来棉种行业严重亏损，棉种市场秩序较混乱，假冒伪劣种子充斥市场，难以形成主打的品种和品牌。但随着棉花目标价格补贴政策不断深化，棉花市场化进程不断得到推进，已有部分棉农注意到纺织企业配棉的需求，认识到不同棉花品种的内在纤维品质有很大区别，不再片面追求单产高、衣分高、抗病虫、色泽好的品种，开始注重棉花内在品质，棉花一致性不断得到加强。同时，新疆机采棉均是将原有的手摘方式的棉花按照机采的要求进行种植，始果始节位低、株型松散、成熟期较松散、纤维短、质量较差，不是机采棉的最佳选择品种，加工出的皮棉不尽如人意，在品种选择与新品种选育上有很大提升空间。</w:t>
      </w:r>
    </w:p>
    <w:p>
      <w:pPr>
        <w:pStyle w:val="23"/>
        <w:spacing w:line="576" w:lineRule="exact"/>
        <w:ind w:firstLine="625"/>
        <w:rPr>
          <w:rFonts w:ascii="方正仿宋简体" w:eastAsia="方正仿宋简体"/>
          <w:b/>
          <w:sz w:val="32"/>
          <w:szCs w:val="32"/>
        </w:rPr>
      </w:pPr>
      <w:r>
        <w:rPr>
          <w:rFonts w:hint="eastAsia" w:ascii="方正仿宋简体" w:eastAsia="方正仿宋简体"/>
          <w:b/>
          <w:sz w:val="32"/>
          <w:szCs w:val="32"/>
        </w:rPr>
        <w:t>2.栽培管理与交售流通环节的影响</w:t>
      </w:r>
    </w:p>
    <w:p>
      <w:pPr>
        <w:pStyle w:val="23"/>
        <w:spacing w:line="576" w:lineRule="exact"/>
        <w:ind w:firstLine="622"/>
        <w:rPr>
          <w:rFonts w:ascii="方正仿宋简体" w:eastAsia="方正仿宋简体"/>
          <w:sz w:val="32"/>
        </w:rPr>
      </w:pPr>
      <w:r>
        <w:rPr>
          <w:rFonts w:hint="eastAsia" w:ascii="方正仿宋简体" w:eastAsia="方正仿宋简体"/>
          <w:sz w:val="32"/>
        </w:rPr>
        <w:t>棉花栽培管理过程中，棉农盲目追求高密度、田间施肥种类单一，棉田残膜回收量甚少，或基本上不回收，导致残膜逐年增加，宜棉区耕地有限，棉田只能向非宜棉区扩张，加之劳力不足，管理粗放，并且我国多数区域棉田分散，规模化种植条件差，客观上导致质量指标的不一致。在交售流通环节上，棉花采摘、运输过程中使用塑料编织袋的问题一直没有得到有效根治。此外，棉农在户外摊晒籽棉时，受环境条件影响，极易造成动物毛发及杂物混入，形成异性纤维。由于担心综合指标低的棉花卖不出去，棉农有意识的将优等棉花和低等棉花掺混在一起优劣混卖。形成资源浪费，造成棉花品质普遍中等偏下，高品质棉花</w:t>
      </w:r>
      <w:r>
        <w:rPr>
          <w:rFonts w:hint="eastAsia" w:ascii="方正仿宋简体" w:eastAsia="方正仿宋简体"/>
          <w:sz w:val="32"/>
          <w:lang w:eastAsia="zh-CN"/>
        </w:rPr>
        <w:t>匮乏</w:t>
      </w:r>
      <w:r>
        <w:rPr>
          <w:rFonts w:hint="eastAsia" w:ascii="方正仿宋简体" w:eastAsia="方正仿宋简体"/>
          <w:sz w:val="32"/>
        </w:rPr>
        <w:t>。</w:t>
      </w:r>
    </w:p>
    <w:p>
      <w:pPr>
        <w:pStyle w:val="23"/>
        <w:spacing w:line="576" w:lineRule="exact"/>
        <w:ind w:firstLine="625"/>
        <w:rPr>
          <w:rFonts w:ascii="方正仿宋简体" w:eastAsia="方正仿宋简体"/>
          <w:b/>
          <w:sz w:val="32"/>
          <w:szCs w:val="32"/>
        </w:rPr>
      </w:pPr>
      <w:r>
        <w:rPr>
          <w:rFonts w:hint="eastAsia" w:ascii="方正仿宋简体" w:eastAsia="方正仿宋简体"/>
          <w:b/>
          <w:sz w:val="32"/>
          <w:szCs w:val="32"/>
        </w:rPr>
        <w:t>3.采摘方式的影响</w:t>
      </w:r>
    </w:p>
    <w:p>
      <w:pPr>
        <w:pStyle w:val="23"/>
        <w:spacing w:line="576" w:lineRule="exact"/>
        <w:ind w:firstLine="622"/>
        <w:rPr>
          <w:rFonts w:ascii="方正仿宋简体" w:eastAsia="方正仿宋简体"/>
          <w:sz w:val="32"/>
        </w:rPr>
      </w:pPr>
      <w:r>
        <w:rPr>
          <w:rFonts w:hint="eastAsia" w:ascii="方正仿宋简体" w:eastAsia="方正仿宋简体"/>
          <w:sz w:val="32"/>
        </w:rPr>
        <w:t>我国大部分棉区采用的还是传统的手摘方式。棉农采摘棉花时较为粗放，按数量采摘、</w:t>
      </w:r>
      <w:r>
        <w:rPr>
          <w:rFonts w:hint="eastAsia" w:ascii="方正仿宋简体" w:eastAsia="方正仿宋简体"/>
          <w:sz w:val="32"/>
          <w:lang w:eastAsia="zh-CN"/>
        </w:rPr>
        <w:t>分级</w:t>
      </w:r>
      <w:r>
        <w:rPr>
          <w:rFonts w:hint="eastAsia" w:ascii="方正仿宋简体" w:eastAsia="方正仿宋简体"/>
          <w:sz w:val="32"/>
        </w:rPr>
        <w:t>存放意识差，采集方式随意性大。部分棉农习惯揪桃剥棉，个别地区甚至还有拔杆剥桃的现象；近年来随着用工成本的大幅上升，棉花采摘雇工困难，棉花早采现象严重，少数地区一次性采摘，未成熟的棉桃被采，造成棉花质量下降。同时，机采棉的快速发展有效降低了生产成本，但也带来含杂多、“三丝”多、长度短等质量问题。由于机采棉在采收过程中，缺少对采收对象的选择性，极易将地膜残片等异性纤维一同收集，造成异性纤维增多、杂质偏大等问题。再加上后续加工中，为了除杂干净，过度烘干开清，造成了对棉花强力、长度等内在指标的损害，增加了短纤率，一定程度上降低了机采棉花的市场竞争力。</w:t>
      </w:r>
    </w:p>
    <w:p>
      <w:pPr>
        <w:spacing w:line="576" w:lineRule="exact"/>
        <w:ind w:firstLine="615"/>
        <w:rPr>
          <w:rFonts w:ascii="方正仿宋简体" w:eastAsia="方正仿宋简体"/>
          <w:b/>
          <w:sz w:val="32"/>
          <w:szCs w:val="32"/>
        </w:rPr>
      </w:pPr>
      <w:r>
        <w:rPr>
          <w:rFonts w:hint="eastAsia" w:ascii="方正仿宋简体" w:eastAsia="方正仿宋简体"/>
          <w:b/>
          <w:sz w:val="32"/>
          <w:szCs w:val="32"/>
        </w:rPr>
        <w:t>4.棉花加工的影响</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一方面由于棉企加工利润越来越小，出现劳动用工减少，质量管理不到位现象。一些企业加工过程中未正确处理好产量和质量的关系，轧工速度控制不当、排杂不彻底或不排，导致棉花长度严重损伤、短纤含量增加，同时含杂较高，棉结、索丝较多。另一方面随着棉花加工资格认定的取消，各类小包棉等无证企业有卷土重来之势，其质量意识淡薄，生产的小包棉多是白板包，一旦出现质量问题，不利于纺企维护权益，也不利于打击和追责。</w:t>
      </w:r>
    </w:p>
    <w:p>
      <w:pPr>
        <w:pStyle w:val="2"/>
        <w:spacing w:before="0" w:beforeAutospacing="0" w:after="0" w:afterAutospacing="0" w:line="576" w:lineRule="exact"/>
        <w:ind w:firstLine="622"/>
        <w:rPr>
          <w:rFonts w:ascii="黑体" w:hAnsi="黑体" w:eastAsia="黑体"/>
          <w:b w:val="0"/>
          <w:sz w:val="32"/>
          <w:szCs w:val="32"/>
        </w:rPr>
      </w:pPr>
      <w:bookmarkStart w:id="16" w:name="_Toc6173"/>
      <w:r>
        <w:rPr>
          <w:rFonts w:hint="eastAsia" w:ascii="黑体" w:hAnsi="黑体" w:eastAsia="黑体"/>
          <w:b w:val="0"/>
          <w:sz w:val="32"/>
          <w:szCs w:val="32"/>
        </w:rPr>
        <w:t>五、有关建议</w:t>
      </w:r>
      <w:bookmarkEnd w:id="16"/>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为确保棉花加工质量的提高，防止棉花加工过程中质量破坏，保护棉花质量的稳定性和一致性，提高我国棉花的整体可纺性，针对上述质量指标检验结果和影响因素作出如下建议：</w:t>
      </w:r>
    </w:p>
    <w:p>
      <w:pPr>
        <w:pStyle w:val="3"/>
        <w:spacing w:before="0" w:after="0" w:line="576" w:lineRule="exact"/>
        <w:ind w:firstLine="667" w:firstLineChars="214"/>
        <w:rPr>
          <w:rFonts w:ascii="方正仿宋简体" w:eastAsia="方正仿宋简体"/>
        </w:rPr>
      </w:pPr>
      <w:bookmarkStart w:id="17" w:name="_Toc30421"/>
      <w:r>
        <w:rPr>
          <w:rFonts w:hint="eastAsia" w:ascii="方正仿宋简体" w:eastAsia="方正仿宋简体"/>
        </w:rPr>
        <w:t>（一）把握棉花产业形势，继续完善宏观调控政策</w:t>
      </w:r>
      <w:bookmarkEnd w:id="17"/>
    </w:p>
    <w:p>
      <w:pPr>
        <w:pStyle w:val="23"/>
        <w:spacing w:line="576" w:lineRule="exact"/>
        <w:ind w:firstLine="622"/>
        <w:rPr>
          <w:rFonts w:ascii="方正仿宋简体" w:eastAsia="方正仿宋简体"/>
          <w:color w:val="000000" w:themeColor="text1"/>
          <w:sz w:val="32"/>
          <w14:textFill>
            <w14:solidFill>
              <w14:schemeClr w14:val="tx1"/>
            </w14:solidFill>
          </w14:textFill>
        </w:rPr>
      </w:pPr>
      <w:r>
        <w:rPr>
          <w:rFonts w:hint="eastAsia" w:ascii="方正仿宋简体" w:eastAsia="方正仿宋简体"/>
          <w:color w:val="000000" w:themeColor="text1"/>
          <w:sz w:val="32"/>
          <w14:textFill>
            <w14:solidFill>
              <w14:schemeClr w14:val="tx1"/>
            </w14:solidFill>
          </w14:textFill>
        </w:rPr>
        <w:t>一方面，棉花目标价格改革已在新疆试点三年时间，回顾三年来的试点历程，改革工作对调整产业布局、优化产业结构、缓解国储库存压力、减轻财政负担、稳定生产、保障棉农利益、促进下游纺织企业健康发展起到了非常积极的作用，应进一步完善宏观调控政策，依托未来三年新疆棉花目标价格每吨18600元的水平鼓励棉农种植高品质、高质量的棉花，引导棉花生产向优势产区集中，发展规模化种植、专业化管理的新模式，充分发挥市场资源配置作用。另一方面，</w:t>
      </w:r>
      <w:r>
        <w:rPr>
          <w:rFonts w:hint="eastAsia" w:ascii="方正仿宋简体" w:hAnsi="宋体" w:eastAsia="方正仿宋简体"/>
          <w:color w:val="000000"/>
          <w:sz w:val="32"/>
          <w:szCs w:val="32"/>
        </w:rPr>
        <w:t>2017年1月12日，国务院印发《关于第三批取消中央指定地方实施行政许可事项的决定》（国发〔2017〕7号），取消了棉花加工资格认定行政许可事项，棉花加工市场准入机制取消后，要加大棉花质量事中事后监管力度，进一步健全棉花加工抽检、预警机制，健全质量追溯体系，加强棉花加工企业诚信体系建设，加大违法责任追究力度。同时要</w:t>
      </w:r>
      <w:r>
        <w:rPr>
          <w:rFonts w:hint="eastAsia" w:ascii="方正仿宋简体" w:eastAsia="方正仿宋简体"/>
          <w:color w:val="000000" w:themeColor="text1"/>
          <w:sz w:val="32"/>
          <w14:textFill>
            <w14:solidFill>
              <w14:schemeClr w14:val="tx1"/>
            </w14:solidFill>
          </w14:textFill>
        </w:rPr>
        <w:t>通过市场的良性竞争过滤“两小一土”加工企业，引导形成与质量挂钩的棉花价格，以纺织企业需求倒逼出好棉花。</w:t>
      </w:r>
    </w:p>
    <w:p>
      <w:pPr>
        <w:pStyle w:val="3"/>
        <w:spacing w:before="0" w:after="0" w:line="576" w:lineRule="exact"/>
        <w:ind w:firstLine="667" w:firstLineChars="214"/>
        <w:rPr>
          <w:rFonts w:ascii="方正仿宋简体" w:eastAsia="方正仿宋简体"/>
        </w:rPr>
      </w:pPr>
      <w:bookmarkStart w:id="18" w:name="_Toc29451"/>
      <w:r>
        <w:rPr>
          <w:rFonts w:hint="eastAsia" w:ascii="方正仿宋简体" w:eastAsia="方正仿宋简体"/>
        </w:rPr>
        <w:t>（二）发挥质量大数据作用，加大科技兴棉力度</w:t>
      </w:r>
      <w:bookmarkEnd w:id="18"/>
    </w:p>
    <w:p>
      <w:pPr>
        <w:pStyle w:val="23"/>
        <w:spacing w:line="576" w:lineRule="exact"/>
        <w:ind w:firstLine="622"/>
        <w:rPr>
          <w:rFonts w:ascii="方正仿宋简体" w:eastAsia="方正仿宋简体"/>
          <w:color w:val="000000" w:themeColor="text1"/>
          <w:sz w:val="32"/>
          <w14:textFill>
            <w14:solidFill>
              <w14:schemeClr w14:val="tx1"/>
            </w14:solidFill>
          </w14:textFill>
        </w:rPr>
      </w:pPr>
      <w:r>
        <w:rPr>
          <w:rFonts w:hint="eastAsia" w:ascii="方正仿宋简体" w:eastAsia="方正仿宋简体"/>
          <w:color w:val="000000" w:themeColor="text1"/>
          <w:sz w:val="32"/>
          <w14:textFill>
            <w14:solidFill>
              <w14:schemeClr w14:val="tx1"/>
            </w14:solidFill>
          </w14:textFill>
        </w:rPr>
        <w:t>加强棉花质量大数据与其他行业的结合与应用，尤其是要推进政府部门、行业协会、相关机构之间的沟通协作，积极推动棉花产业信息大数据平台建设，研究棉花公证检验结果在纺织配棉中的应用、公证检验证书与现代物流的结合、公证检验结果的“大数据”应用与质量分析等。同时要深入研究质量数据在棉花</w:t>
      </w:r>
      <w:r>
        <w:rPr>
          <w:rFonts w:hint="eastAsia" w:ascii="仿宋_GB2312" w:eastAsia="仿宋_GB2312"/>
          <w:sz w:val="32"/>
        </w:rPr>
        <w:t>良种培育、提升科学植棉水平、改进生产工艺中的指导与参考作用，运用科学技术提升棉花供给质量。加大对机采棉在育种、栽培管理、采摘技术、加工工艺等方面的专项研究力度，深入研究机采棉各项质量指标，使机采棉与手摘棉针对不同纺纱需求，优势分别得到发挥。</w:t>
      </w:r>
    </w:p>
    <w:p>
      <w:pPr>
        <w:pStyle w:val="3"/>
        <w:spacing w:before="0" w:after="0" w:line="576" w:lineRule="exact"/>
        <w:ind w:firstLine="667" w:firstLineChars="214"/>
        <w:rPr>
          <w:rFonts w:ascii="方正仿宋简体" w:eastAsia="方正仿宋简体"/>
        </w:rPr>
      </w:pPr>
      <w:bookmarkStart w:id="19" w:name="_Toc18299"/>
      <w:r>
        <w:rPr>
          <w:rFonts w:hint="eastAsia" w:ascii="方正仿宋简体" w:eastAsia="方正仿宋简体"/>
        </w:rPr>
        <w:t>（三）树立品牌效应，提高优质棉市场竞争力</w:t>
      </w:r>
      <w:bookmarkEnd w:id="19"/>
    </w:p>
    <w:p>
      <w:pPr>
        <w:pStyle w:val="23"/>
        <w:spacing w:line="576" w:lineRule="exact"/>
        <w:ind w:firstLine="622"/>
        <w:rPr>
          <w:rFonts w:ascii="方正仿宋简体" w:eastAsia="方正仿宋简体"/>
          <w:color w:val="000000" w:themeColor="text1"/>
          <w:sz w:val="32"/>
          <w14:textFill>
            <w14:solidFill>
              <w14:schemeClr w14:val="tx1"/>
            </w14:solidFill>
          </w14:textFill>
        </w:rPr>
      </w:pPr>
      <w:r>
        <w:rPr>
          <w:rFonts w:hint="eastAsia" w:ascii="方正仿宋简体" w:eastAsia="方正仿宋简体"/>
          <w:color w:val="000000" w:themeColor="text1"/>
          <w:sz w:val="32"/>
          <w14:textFill>
            <w14:solidFill>
              <w14:schemeClr w14:val="tx1"/>
            </w14:solidFill>
          </w14:textFill>
        </w:rPr>
        <w:t>目前棉花企业中中小企业偏多，对于品牌建设存在着较大程度上的盲目性，建设现状很不理想，企业品牌的影响力和忠诚度都很低，因此，要引导和帮助加工企业树立品牌意识，提升品牌质量，放大品牌效应。一是树立优质棉花、优秀加工企业品牌效应。通过市场筛选，培育质量信誉好的龙头企业，逐步建立质量品牌，增强产品竞争优势，提升宣传效应，树立典型示范，在全国范围内引领棉花质量提升，增强市场竞争力。二是国家相关棉花政策多向400型企业倾斜。引导加工企业不断完善管理模式，提升企业文化，增强创新意识，提高产品质量，自动淘汰掉产品质量差、管理方式落后、加工设备不完善、存在安全隐患的企业。三是推广利用现有棉花品牌。加大品牌棉花的宣传力度，严格规范质量信誉登记流程，推广在生产、加工、仓储、物流、纺织等一系列环节保护经品牌认定的棉花，开通品牌棉绿色通道，保护经市场认定的优质品牌棉。</w:t>
      </w:r>
    </w:p>
    <w:p>
      <w:pPr>
        <w:pStyle w:val="3"/>
        <w:spacing w:before="0" w:after="0" w:line="576" w:lineRule="exact"/>
        <w:ind w:firstLine="667" w:firstLineChars="214"/>
        <w:rPr>
          <w:rFonts w:ascii="方正仿宋简体" w:eastAsia="方正仿宋简体"/>
        </w:rPr>
      </w:pPr>
      <w:bookmarkStart w:id="20" w:name="_Toc30817"/>
      <w:r>
        <w:rPr>
          <w:rFonts w:hint="eastAsia" w:ascii="方正仿宋简体" w:eastAsia="方正仿宋简体"/>
        </w:rPr>
        <w:t>（三）加强棉花监督与管理水平，提升全国棉花质量</w:t>
      </w:r>
      <w:bookmarkEnd w:id="20"/>
    </w:p>
    <w:p>
      <w:pPr>
        <w:pStyle w:val="23"/>
        <w:spacing w:line="576" w:lineRule="exact"/>
        <w:ind w:firstLine="622"/>
        <w:rPr>
          <w:rFonts w:ascii="方正仿宋简体" w:eastAsia="方正仿宋简体"/>
          <w:color w:val="000000" w:themeColor="text1"/>
          <w:sz w:val="32"/>
          <w14:textFill>
            <w14:solidFill>
              <w14:schemeClr w14:val="tx1"/>
            </w14:solidFill>
          </w14:textFill>
        </w:rPr>
      </w:pPr>
      <w:r>
        <w:rPr>
          <w:rFonts w:hint="eastAsia" w:ascii="方正仿宋简体" w:eastAsia="方正仿宋简体"/>
          <w:color w:val="000000" w:themeColor="text1"/>
          <w:sz w:val="32"/>
          <w14:textFill>
            <w14:solidFill>
              <w14:schemeClr w14:val="tx1"/>
            </w14:solidFill>
          </w14:textFill>
        </w:rPr>
        <w:t>围绕纺织企业需求，针对棉花质量的突出问题，</w:t>
      </w:r>
      <w:r>
        <w:rPr>
          <w:rFonts w:hint="eastAsia" w:ascii="方正仿宋简体" w:eastAsia="方正仿宋简体"/>
          <w:sz w:val="32"/>
        </w:rPr>
        <w:t>继续加强棉花质量监督力度，加强棉花加工企业质量管理水平。一是加强监督检查，创新工作方法、注重工作有效性，继续加强对重点地区、重点监控企业的监督检查。二是加强现场调研，掌握纺织用棉质量状况，做好质量分析，了解企业对棉花质量的实际需求，制定相应的监督措施，有针对性地对棉花质量突出问题进行专项治理。三是加快企业质量信用档案建设，积极实施棉花加工企业分类监督管理，发挥企业质量诚信档案在企业贷款、公证检验资格等方面的作用，督促棉花加工企业落实各项质量义务。四是密切关注棉花市场质量状况，做好棉花质量分析，加强安全风险预警和隐患排查，防止发生区域性、系统性质量风险。五是加强质量服务，督促企业采取有效措施挑拣异性纤维和分等级收购、置放、加工棉花，指导企业按标准要求标注质量标识。</w:t>
      </w:r>
    </w:p>
    <w:p>
      <w:pPr>
        <w:rPr>
          <w:rFonts w:ascii="方正仿宋简体" w:eastAsia="方正仿宋简体"/>
        </w:rPr>
      </w:pPr>
    </w:p>
    <w:sectPr>
      <w:footerReference r:id="rId10" w:type="first"/>
      <w:footerReference r:id="rId8" w:type="default"/>
      <w:footerReference r:id="rId9" w:type="even"/>
      <w:footnotePr>
        <w:numFmt w:val="decimalEnclosedCircleChinese"/>
      </w:footnotePr>
      <w:pgSz w:w="11906" w:h="16838"/>
      <w:pgMar w:top="2098" w:right="1474" w:bottom="1928" w:left="1587" w:header="851" w:footer="1417" w:gutter="0"/>
      <w:pgNumType w:start="1"/>
      <w:cols w:space="0" w:num="1"/>
      <w:docGrid w:type="linesAndChars" w:linePitch="287"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233376"/>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813318"/>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sdt>
      <w:sdtPr>
        <w:id w:val="-1094314783"/>
      </w:sdtPr>
      <w:sdtEndPr>
        <w:rPr>
          <w:rFonts w:asciiTheme="minorEastAsia" w:hAnsiTheme="minorEastAsia" w:eastAsiaTheme="minorEastAsia"/>
          <w:sz w:val="28"/>
          <w:szCs w:val="28"/>
        </w:r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sdt>
      <w:sdtPr>
        <w:id w:val="1158423829"/>
      </w:sdtPr>
      <w:sdtEndPr>
        <w:rPr>
          <w:rFonts w:asciiTheme="minorEastAsia" w:hAnsiTheme="minorEastAsia" w:eastAsiaTheme="minorEastAsia"/>
          <w:sz w:val="28"/>
          <w:szCs w:val="28"/>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heme="minorEastAsia" w:hAnsiTheme="minorEastAsia" w:eastAsiaTheme="minorEastAsia"/>
          <w:snapToGrid w:val="0"/>
          <w:kern w:val="0"/>
          <w:sz w:val="21"/>
          <w:szCs w:val="21"/>
        </w:rPr>
      </w:pPr>
      <w:r>
        <w:rPr>
          <w:rStyle w:val="15"/>
          <w:rFonts w:asciiTheme="minorEastAsia" w:hAnsiTheme="minorEastAsia" w:eastAsiaTheme="minorEastAsia"/>
          <w:snapToGrid w:val="0"/>
          <w:kern w:val="0"/>
          <w:sz w:val="21"/>
          <w:szCs w:val="21"/>
          <w:vertAlign w:val="baseline"/>
        </w:rPr>
        <w:footnoteRef/>
      </w:r>
      <w:r>
        <w:rPr>
          <w:rFonts w:hint="eastAsia" w:asciiTheme="minorEastAsia" w:hAnsiTheme="minorEastAsia" w:eastAsiaTheme="minorEastAsia"/>
          <w:snapToGrid w:val="0"/>
          <w:kern w:val="0"/>
          <w:sz w:val="21"/>
          <w:szCs w:val="21"/>
        </w:rPr>
        <w:t>2012年11月21日，国家标准化委员会发布了新修订的棉花国家标准GB 1103.1-2012《棉花 第1部分：锯齿加工细绒棉》和GB 1103.2-2012《棉花 第2部分：皮辊加工细绒棉》，并从2013棉花年度(2013年9月1日)起开始实施，取代GB 1103-2007《棉花细绒棉》国家标准。</w:t>
      </w:r>
    </w:p>
  </w:footnote>
  <w:footnote w:id="1">
    <w:p>
      <w:pPr>
        <w:pStyle w:val="8"/>
        <w:rPr>
          <w:rFonts w:asciiTheme="minorEastAsia" w:hAnsiTheme="minorEastAsia" w:eastAsiaTheme="minorEastAsia"/>
          <w:kern w:val="21"/>
          <w:sz w:val="21"/>
          <w:szCs w:val="21"/>
        </w:rPr>
      </w:pPr>
      <w:r>
        <w:rPr>
          <w:rStyle w:val="15"/>
          <w:rFonts w:asciiTheme="minorEastAsia" w:hAnsiTheme="minorEastAsia" w:eastAsiaTheme="minorEastAsia"/>
          <w:kern w:val="21"/>
          <w:sz w:val="21"/>
          <w:szCs w:val="21"/>
          <w:vertAlign w:val="baseline"/>
        </w:rPr>
        <w:footnoteRef/>
      </w:r>
      <w:r>
        <w:rPr>
          <w:rStyle w:val="15"/>
          <w:rFonts w:hint="eastAsia" w:asciiTheme="minorEastAsia" w:hAnsiTheme="minorEastAsia" w:eastAsiaTheme="minorEastAsia"/>
          <w:kern w:val="21"/>
          <w:sz w:val="21"/>
          <w:szCs w:val="21"/>
          <w:vertAlign w:val="baseline"/>
        </w:rPr>
        <w:t>新疆维吾尔自治区</w:t>
      </w:r>
      <w:r>
        <w:rPr>
          <w:rFonts w:hint="eastAsia" w:asciiTheme="minorEastAsia" w:hAnsiTheme="minorEastAsia" w:eastAsiaTheme="minorEastAsia"/>
          <w:kern w:val="21"/>
          <w:sz w:val="21"/>
          <w:szCs w:val="21"/>
        </w:rPr>
        <w:t>地方</w:t>
      </w:r>
      <w:r>
        <w:rPr>
          <w:rStyle w:val="15"/>
          <w:rFonts w:hint="eastAsia" w:asciiTheme="minorEastAsia" w:hAnsiTheme="minorEastAsia" w:eastAsiaTheme="minorEastAsia"/>
          <w:kern w:val="21"/>
          <w:sz w:val="21"/>
          <w:szCs w:val="21"/>
          <w:vertAlign w:val="baseline"/>
        </w:rPr>
        <w:t>及生产建设兵团所产棉花因其在品种、生产方式、管理模式上的差异，</w:t>
      </w:r>
      <w:r>
        <w:rPr>
          <w:rFonts w:hint="eastAsia" w:asciiTheme="minorEastAsia" w:hAnsiTheme="minorEastAsia" w:eastAsiaTheme="minorEastAsia"/>
          <w:kern w:val="21"/>
          <w:sz w:val="21"/>
          <w:szCs w:val="21"/>
        </w:rPr>
        <w:t>而在</w:t>
      </w:r>
      <w:r>
        <w:rPr>
          <w:rStyle w:val="15"/>
          <w:rFonts w:hint="eastAsia" w:asciiTheme="minorEastAsia" w:hAnsiTheme="minorEastAsia" w:eastAsiaTheme="minorEastAsia"/>
          <w:kern w:val="21"/>
          <w:sz w:val="21"/>
          <w:szCs w:val="21"/>
          <w:vertAlign w:val="baseline"/>
        </w:rPr>
        <w:t>一些质量指标上各具特点，因此，本报告中对其分别统计分析，并</w:t>
      </w:r>
      <w:r>
        <w:rPr>
          <w:rFonts w:hint="eastAsia" w:asciiTheme="minorEastAsia" w:hAnsiTheme="minorEastAsia" w:eastAsiaTheme="minorEastAsia"/>
          <w:kern w:val="21"/>
          <w:sz w:val="21"/>
          <w:szCs w:val="21"/>
        </w:rPr>
        <w:t>分别简称新疆地方、新疆兵团。</w:t>
      </w:r>
    </w:p>
  </w:footnote>
  <w:footnote w:id="2">
    <w:p>
      <w:pPr>
        <w:pStyle w:val="8"/>
        <w:rPr>
          <w:rFonts w:asciiTheme="minorEastAsia" w:hAnsiTheme="minorEastAsia" w:eastAsiaTheme="minorEastAsia"/>
          <w:snapToGrid w:val="0"/>
          <w:kern w:val="0"/>
          <w:sz w:val="21"/>
          <w:szCs w:val="21"/>
        </w:rPr>
      </w:pPr>
      <w:r>
        <w:rPr>
          <w:rStyle w:val="15"/>
          <w:rFonts w:asciiTheme="minorEastAsia" w:hAnsiTheme="minorEastAsia" w:eastAsiaTheme="minorEastAsia"/>
          <w:snapToGrid w:val="0"/>
          <w:kern w:val="0"/>
          <w:sz w:val="21"/>
          <w:szCs w:val="21"/>
          <w:vertAlign w:val="baseline"/>
        </w:rPr>
        <w:footnoteRef/>
      </w:r>
      <w:r>
        <w:rPr>
          <w:rStyle w:val="15"/>
          <w:rFonts w:hint="eastAsia" w:asciiTheme="minorEastAsia" w:hAnsiTheme="minorEastAsia" w:eastAsiaTheme="minorEastAsia"/>
          <w:snapToGrid w:val="0"/>
          <w:kern w:val="0"/>
          <w:sz w:val="21"/>
          <w:szCs w:val="21"/>
          <w:vertAlign w:val="baseline"/>
        </w:rPr>
        <w:t>棉花的颜色级指标与原标准中的品级指标并无对应关系。根据现行棉花国家标准，颜色级分为白棉、淡点污棉、淡黄染棉、黄染棉四个类型，其中白棉分为1到5级，代号分别用11、21、31、41、51表示；淡点污棉分为1到3级，代号分别用12、22、32表示；淡黄染棉分为1到3级，代号分别用13、23、33表示；黄染棉分为1级和2级，代号分别用14、24表示。</w:t>
      </w:r>
    </w:p>
  </w:footnote>
  <w:footnote w:id="3">
    <w:p>
      <w:pPr>
        <w:pStyle w:val="8"/>
        <w:rPr>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szCs w:val="21"/>
        </w:rPr>
        <w:t>根据现行棉花国家标准，锯齿加工细绒棉的轧工质量分为好、中、差三档，分别用P1、P2、P3表示。</w:t>
      </w:r>
    </w:p>
  </w:footnote>
  <w:footnote w:id="4">
    <w:p>
      <w:pPr>
        <w:pStyle w:val="8"/>
        <w:rPr>
          <w:rFonts w:asciiTheme="minorEastAsia" w:hAnsiTheme="minorEastAsia" w:eastAsiaTheme="minorEastAsia"/>
          <w:kern w:val="21"/>
          <w:sz w:val="21"/>
          <w:szCs w:val="21"/>
        </w:rPr>
      </w:pPr>
      <w:r>
        <w:rPr>
          <w:rFonts w:asciiTheme="minorEastAsia" w:hAnsiTheme="minorEastAsia" w:eastAsiaTheme="minorEastAsia"/>
          <w:kern w:val="21"/>
          <w:sz w:val="21"/>
          <w:szCs w:val="21"/>
        </w:rPr>
        <w:footnoteRef/>
      </w:r>
      <w:r>
        <w:rPr>
          <w:rFonts w:hint="eastAsia" w:asciiTheme="minorEastAsia" w:hAnsiTheme="minorEastAsia" w:eastAsiaTheme="minorEastAsia"/>
          <w:kern w:val="21"/>
          <w:sz w:val="21"/>
          <w:szCs w:val="21"/>
        </w:rPr>
        <w:t>棉花长度并非指单根棉纤维的长度，而是根据一定数量的棉花所有棉纤维长度分布的数理统计量。根据现行棉花国家标准，细绒棉长度级分级及长度值范围分别是：25毫米级，25.9毫米及以下；26毫米级，26.0-26.9毫米；27-31毫米级以1毫米为级距依次类推；32毫米级，32.0毫米及以上。</w:t>
      </w:r>
    </w:p>
  </w:footnote>
  <w:footnote w:id="5">
    <w:p>
      <w:pPr>
        <w:pStyle w:val="8"/>
      </w:pPr>
      <w:r>
        <w:rPr>
          <w:rFonts w:asciiTheme="minorEastAsia" w:hAnsiTheme="minorEastAsia" w:eastAsiaTheme="minorEastAsia"/>
          <w:sz w:val="21"/>
        </w:rPr>
        <w:footnoteRef/>
      </w:r>
      <w:r>
        <w:rPr>
          <w:rFonts w:hint="eastAsia" w:asciiTheme="minorEastAsia" w:hAnsiTheme="minorEastAsia" w:eastAsiaTheme="minorEastAsia"/>
          <w:sz w:val="21"/>
        </w:rPr>
        <w:t xml:space="preserve"> 对各棉包进行逐包抽样检验，各样品检测长度值的算术平均值。</w:t>
      </w:r>
    </w:p>
  </w:footnote>
  <w:footnote w:id="6">
    <w:p>
      <w:pPr>
        <w:pStyle w:val="8"/>
        <w:rPr>
          <w:rFonts w:asciiTheme="minorEastAsia" w:hAnsiTheme="minorEastAsia" w:eastAsiaTheme="minorEastAsia"/>
          <w:sz w:val="21"/>
        </w:rPr>
      </w:pPr>
      <w:r>
        <w:rPr>
          <w:rFonts w:asciiTheme="minorEastAsia" w:hAnsiTheme="minorEastAsia" w:eastAsiaTheme="minorEastAsia"/>
          <w:sz w:val="21"/>
        </w:rPr>
        <w:footnoteRef/>
      </w:r>
      <w:r>
        <w:rPr>
          <w:rFonts w:hint="eastAsia" w:asciiTheme="minorEastAsia" w:hAnsiTheme="minorEastAsia" w:eastAsiaTheme="minorEastAsia"/>
          <w:sz w:val="21"/>
        </w:rPr>
        <w:t xml:space="preserve"> 对各棉包进行逐包抽样检验，实测长度后计其长度级，各长度级级值与该长度级占总检验量的比率乘积之和。</w:t>
      </w:r>
    </w:p>
  </w:footnote>
  <w:footnote w:id="7">
    <w:p>
      <w:pPr>
        <w:pStyle w:val="8"/>
        <w:rPr>
          <w:rFonts w:asciiTheme="minorEastAsia" w:hAnsiTheme="minorEastAsia" w:eastAsiaTheme="minorEastAsia"/>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rPr>
        <w:t>根据现行棉花国家标准，</w:t>
      </w:r>
      <w:r>
        <w:rPr>
          <w:rFonts w:asciiTheme="minorEastAsia" w:hAnsiTheme="minorEastAsia" w:eastAsiaTheme="minorEastAsia"/>
          <w:snapToGrid w:val="0"/>
          <w:kern w:val="0"/>
          <w:sz w:val="21"/>
          <w:szCs w:val="21"/>
        </w:rPr>
        <w:t>马克隆值</w:t>
      </w:r>
      <w:r>
        <w:rPr>
          <w:rFonts w:hint="eastAsia" w:asciiTheme="minorEastAsia" w:hAnsiTheme="minorEastAsia" w:eastAsiaTheme="minorEastAsia"/>
          <w:snapToGrid w:val="0"/>
          <w:kern w:val="0"/>
          <w:sz w:val="21"/>
          <w:szCs w:val="21"/>
        </w:rPr>
        <w:t>级的分级、分档及马克隆值范围分别是：A级，A档，3.7-4.2；B级，B1档，3.5-3.6；B级，B2档，4.3-4.9；C级，C1档，3.4及以下；C级，C2档，5.0及以上。</w:t>
      </w:r>
    </w:p>
  </w:footnote>
  <w:footnote w:id="8">
    <w:p>
      <w:pPr>
        <w:pStyle w:val="8"/>
        <w:rPr>
          <w:rFonts w:asciiTheme="minorEastAsia" w:hAnsiTheme="minorEastAsia" w:eastAsiaTheme="minorEastAsia"/>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szCs w:val="21"/>
        </w:rPr>
        <w:t>根据现行棉花国家标准，断裂比强度的分档与断裂比强度值范围分别是：很强档，31.0</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及以上；强档，29.0-30.9</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；中等档，26.0-28.9</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；差档，24.0-25.9</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；很差档，24.0</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（不含）以下。</w:t>
      </w:r>
    </w:p>
  </w:footnote>
  <w:footnote w:id="9">
    <w:p>
      <w:pPr>
        <w:pStyle w:val="8"/>
        <w:rPr>
          <w:rFonts w:asciiTheme="minorEastAsia" w:hAnsiTheme="minorEastAsia" w:eastAsiaTheme="minorEastAsia"/>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rPr>
        <w:t>根据现行棉花国家标准，</w:t>
      </w:r>
      <w:r>
        <w:rPr>
          <w:rFonts w:hint="eastAsia" w:asciiTheme="minorEastAsia" w:hAnsiTheme="minorEastAsia" w:eastAsiaTheme="minorEastAsia"/>
          <w:snapToGrid w:val="0"/>
          <w:kern w:val="0"/>
          <w:sz w:val="21"/>
          <w:szCs w:val="21"/>
        </w:rPr>
        <w:t>长度整齐度指数分档与长度整齐度指数范围分别是：很高档，86.0%级以上；高档，83.0%-85.9%；中等档，80.0-82.9%；低档，77.0%-79.9%；很低档，77.0%（不含）以下。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B4"/>
    <w:rsid w:val="00030B26"/>
    <w:rsid w:val="00080055"/>
    <w:rsid w:val="00116E7B"/>
    <w:rsid w:val="00132BF6"/>
    <w:rsid w:val="00244959"/>
    <w:rsid w:val="00246548"/>
    <w:rsid w:val="003154C0"/>
    <w:rsid w:val="00403E0D"/>
    <w:rsid w:val="00431705"/>
    <w:rsid w:val="00445CA9"/>
    <w:rsid w:val="00451A2B"/>
    <w:rsid w:val="00504935"/>
    <w:rsid w:val="00533263"/>
    <w:rsid w:val="00533CB4"/>
    <w:rsid w:val="00555887"/>
    <w:rsid w:val="005674A0"/>
    <w:rsid w:val="00573D72"/>
    <w:rsid w:val="005C2DFC"/>
    <w:rsid w:val="00637248"/>
    <w:rsid w:val="00640051"/>
    <w:rsid w:val="00686ECB"/>
    <w:rsid w:val="006A3488"/>
    <w:rsid w:val="006B545E"/>
    <w:rsid w:val="00757EED"/>
    <w:rsid w:val="00786A4C"/>
    <w:rsid w:val="008255C9"/>
    <w:rsid w:val="00885D49"/>
    <w:rsid w:val="008D77B0"/>
    <w:rsid w:val="009025A8"/>
    <w:rsid w:val="00917F5D"/>
    <w:rsid w:val="00997A20"/>
    <w:rsid w:val="009C28E6"/>
    <w:rsid w:val="009D337E"/>
    <w:rsid w:val="00A02E38"/>
    <w:rsid w:val="00AC3C13"/>
    <w:rsid w:val="00AC6649"/>
    <w:rsid w:val="00AF2995"/>
    <w:rsid w:val="00B427E8"/>
    <w:rsid w:val="00BD2AAC"/>
    <w:rsid w:val="00C05D08"/>
    <w:rsid w:val="00C47BC2"/>
    <w:rsid w:val="00CE66C9"/>
    <w:rsid w:val="00CF495A"/>
    <w:rsid w:val="00D04906"/>
    <w:rsid w:val="00DB492C"/>
    <w:rsid w:val="00DB60CC"/>
    <w:rsid w:val="00E855E1"/>
    <w:rsid w:val="00F15FD7"/>
    <w:rsid w:val="00F24F39"/>
    <w:rsid w:val="0581253D"/>
    <w:rsid w:val="09694FCB"/>
    <w:rsid w:val="18155A97"/>
    <w:rsid w:val="1CC73386"/>
    <w:rsid w:val="295D3428"/>
    <w:rsid w:val="31E96EC2"/>
    <w:rsid w:val="36162223"/>
    <w:rsid w:val="377D09E9"/>
    <w:rsid w:val="37871FBD"/>
    <w:rsid w:val="3EF324A2"/>
    <w:rsid w:val="412A56DE"/>
    <w:rsid w:val="45C85D9B"/>
    <w:rsid w:val="4AF71DD8"/>
    <w:rsid w:val="55B13FA2"/>
    <w:rsid w:val="57BE6354"/>
    <w:rsid w:val="5E045469"/>
    <w:rsid w:val="790A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widowControl/>
      <w:spacing w:before="100" w:beforeAutospacing="1" w:after="100" w:afterAutospacing="1" w:line="450" w:lineRule="atLeast"/>
      <w:ind w:firstLine="200" w:firstLineChars="200"/>
      <w:jc w:val="left"/>
      <w:outlineLvl w:val="0"/>
    </w:pPr>
    <w:rPr>
      <w:rFonts w:ascii="宋体" w:hAnsi="宋体" w:cs="宋体"/>
      <w:b/>
      <w:bCs/>
      <w:kern w:val="36"/>
      <w:sz w:val="36"/>
      <w:szCs w:val="36"/>
    </w:rPr>
  </w:style>
  <w:style w:type="paragraph" w:styleId="3">
    <w:name w:val="heading 2"/>
    <w:basedOn w:val="1"/>
    <w:next w:val="1"/>
    <w:link w:val="18"/>
    <w:qFormat/>
    <w:uiPriority w:val="0"/>
    <w:pPr>
      <w:keepLines/>
      <w:spacing w:before="260" w:after="260" w:line="413" w:lineRule="auto"/>
      <w:ind w:firstLine="200" w:firstLineChars="200"/>
      <w:outlineLvl w:val="1"/>
    </w:pPr>
    <w:rPr>
      <w:rFonts w:ascii="Cambria" w:hAnsi="Cambria"/>
      <w:b/>
      <w:bCs/>
      <w:sz w:val="32"/>
      <w:szCs w:val="32"/>
    </w:rPr>
  </w:style>
  <w:style w:type="character" w:default="1" w:styleId="11">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24"/>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pPr>
  </w:style>
  <w:style w:type="paragraph" w:styleId="8">
    <w:name w:val="footnote text"/>
    <w:basedOn w:val="1"/>
    <w:link w:val="21"/>
    <w:unhideWhenUsed/>
    <w:qFormat/>
    <w:uiPriority w:val="99"/>
    <w:pPr>
      <w:snapToGrid w:val="0"/>
      <w:jc w:val="left"/>
    </w:pPr>
    <w:rPr>
      <w:sz w:val="18"/>
      <w:szCs w:val="18"/>
    </w:rPr>
  </w:style>
  <w:style w:type="paragraph" w:styleId="9">
    <w:name w:val="toc 2"/>
    <w:basedOn w:val="1"/>
    <w:next w:val="1"/>
    <w:unhideWhenUsed/>
    <w:qFormat/>
    <w:uiPriority w:val="39"/>
    <w:pPr>
      <w:tabs>
        <w:tab w:val="right" w:leader="dot" w:pos="8315"/>
      </w:tabs>
      <w:ind w:left="420" w:leftChars="200"/>
    </w:pPr>
  </w:style>
  <w:style w:type="paragraph" w:styleId="10">
    <w:name w:val="Normal (Web)"/>
    <w:basedOn w:val="1"/>
    <w:unhideWhenUsed/>
    <w:qFormat/>
    <w:uiPriority w:val="99"/>
    <w:pPr>
      <w:spacing w:beforeAutospacing="1" w:afterAutospacing="1"/>
      <w:jc w:val="left"/>
    </w:pPr>
    <w:rPr>
      <w:kern w:val="0"/>
      <w:sz w:val="24"/>
    </w:rPr>
  </w:style>
  <w:style w:type="character" w:styleId="12">
    <w:name w:val="Strong"/>
    <w:basedOn w:val="11"/>
    <w:qFormat/>
    <w:uiPriority w:val="22"/>
    <w:rPr>
      <w:b/>
    </w:rPr>
  </w:style>
  <w:style w:type="character" w:styleId="13">
    <w:name w:val="FollowedHyperlink"/>
    <w:basedOn w:val="11"/>
    <w:unhideWhenUsed/>
    <w:qFormat/>
    <w:uiPriority w:val="99"/>
    <w:rPr>
      <w:color w:val="4D4D4D"/>
      <w:u w:val="none"/>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footnote reference"/>
    <w:basedOn w:val="11"/>
    <w:unhideWhenUsed/>
    <w:qFormat/>
    <w:uiPriority w:val="99"/>
    <w:rPr>
      <w:vertAlign w:val="superscript"/>
    </w:rPr>
  </w:style>
  <w:style w:type="character" w:customStyle="1" w:styleId="17">
    <w:name w:val="标题 1 Char"/>
    <w:basedOn w:val="11"/>
    <w:link w:val="2"/>
    <w:qFormat/>
    <w:uiPriority w:val="0"/>
    <w:rPr>
      <w:rFonts w:ascii="宋体" w:hAnsi="宋体" w:eastAsia="宋体" w:cs="宋体"/>
      <w:b/>
      <w:bCs/>
      <w:kern w:val="36"/>
      <w:sz w:val="36"/>
      <w:szCs w:val="36"/>
    </w:rPr>
  </w:style>
  <w:style w:type="character" w:customStyle="1" w:styleId="18">
    <w:name w:val="标题 2 Char"/>
    <w:basedOn w:val="11"/>
    <w:link w:val="3"/>
    <w:qFormat/>
    <w:uiPriority w:val="0"/>
    <w:rPr>
      <w:rFonts w:ascii="Cambria" w:hAnsi="Cambria" w:eastAsia="宋体" w:cs="Times New Roman"/>
      <w:b/>
      <w:bCs/>
      <w:sz w:val="32"/>
      <w:szCs w:val="32"/>
    </w:rPr>
  </w:style>
  <w:style w:type="character" w:customStyle="1" w:styleId="19">
    <w:name w:val="页脚 Char"/>
    <w:basedOn w:val="11"/>
    <w:link w:val="5"/>
    <w:qFormat/>
    <w:uiPriority w:val="99"/>
    <w:rPr>
      <w:rFonts w:ascii="Times New Roman" w:hAnsi="Times New Roman" w:eastAsia="宋体" w:cs="Times New Roman"/>
      <w:sz w:val="18"/>
      <w:szCs w:val="18"/>
    </w:rPr>
  </w:style>
  <w:style w:type="character" w:customStyle="1" w:styleId="20">
    <w:name w:val="页眉 Char"/>
    <w:basedOn w:val="11"/>
    <w:link w:val="6"/>
    <w:qFormat/>
    <w:uiPriority w:val="99"/>
    <w:rPr>
      <w:rFonts w:ascii="Times New Roman" w:hAnsi="Times New Roman" w:eastAsia="宋体" w:cs="Times New Roman"/>
      <w:sz w:val="18"/>
      <w:szCs w:val="18"/>
    </w:rPr>
  </w:style>
  <w:style w:type="character" w:customStyle="1" w:styleId="21">
    <w:name w:val="脚注文本 Char"/>
    <w:basedOn w:val="11"/>
    <w:link w:val="8"/>
    <w:qFormat/>
    <w:uiPriority w:val="99"/>
    <w:rPr>
      <w:rFonts w:ascii="Times New Roman" w:hAnsi="Times New Roman" w:eastAsia="宋体" w:cs="Times New Roman"/>
      <w:sz w:val="18"/>
      <w:szCs w:val="18"/>
    </w:rPr>
  </w:style>
  <w:style w:type="paragraph" w:customStyle="1" w:styleId="22">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3">
    <w:name w:val="列出段落1"/>
    <w:basedOn w:val="1"/>
    <w:qFormat/>
    <w:uiPriority w:val="34"/>
    <w:pPr>
      <w:ind w:firstLine="420" w:firstLineChars="200"/>
    </w:pPr>
  </w:style>
  <w:style w:type="character" w:customStyle="1" w:styleId="24">
    <w:name w:val="批注框文本 Char"/>
    <w:basedOn w:val="11"/>
    <w:link w:val="4"/>
    <w:semiHidden/>
    <w:qFormat/>
    <w:uiPriority w:val="99"/>
    <w:rPr>
      <w:rFonts w:ascii="Times New Roman" w:hAnsi="Times New Roman" w:eastAsia="宋体" w:cs="Times New Roman"/>
      <w:sz w:val="18"/>
      <w:szCs w:val="18"/>
    </w:rPr>
  </w:style>
  <w:style w:type="character" w:customStyle="1" w:styleId="25">
    <w:name w:val="cur"/>
    <w:basedOn w:val="11"/>
    <w:qFormat/>
    <w:uiPriority w:val="0"/>
    <w:rPr>
      <w:b/>
    </w:rPr>
  </w:style>
  <w:style w:type="character" w:customStyle="1" w:styleId="26">
    <w:name w:val="cur1"/>
    <w:basedOn w:val="11"/>
    <w:qFormat/>
    <w:uiPriority w:val="0"/>
    <w:rPr>
      <w:shd w:val="clear" w:color="auto" w:fill="FF0000"/>
    </w:rPr>
  </w:style>
  <w:style w:type="character" w:customStyle="1" w:styleId="27">
    <w:name w:val="cur2"/>
    <w:basedOn w:val="11"/>
    <w:qFormat/>
    <w:uiPriority w:val="0"/>
    <w:rPr>
      <w:b/>
    </w:rPr>
  </w:style>
  <w:style w:type="character" w:customStyle="1" w:styleId="28">
    <w:name w:val="正文1"/>
    <w:basedOn w:val="11"/>
    <w:qFormat/>
    <w:uiPriority w:val="0"/>
    <w:rPr>
      <w:color w:val="FFFFFF"/>
    </w:rPr>
  </w:style>
  <w:style w:type="character" w:customStyle="1" w:styleId="29">
    <w:name w:val="normal1"/>
    <w:basedOn w:val="11"/>
    <w:qFormat/>
    <w:uiPriority w:val="0"/>
    <w:rPr>
      <w:color w:val="000000"/>
    </w:rPr>
  </w:style>
  <w:style w:type="character" w:customStyle="1" w:styleId="30">
    <w:name w:val="normal2"/>
    <w:basedOn w:val="11"/>
    <w:qFormat/>
    <w:uiPriority w:val="0"/>
    <w:rPr>
      <w:color w:val="FFFFFF"/>
    </w:rPr>
  </w:style>
  <w:style w:type="character" w:customStyle="1" w:styleId="31">
    <w:name w:val="gwds_nopic"/>
    <w:basedOn w:val="11"/>
    <w:qFormat/>
    <w:uiPriority w:val="0"/>
  </w:style>
  <w:style w:type="character" w:customStyle="1" w:styleId="32">
    <w:name w:val="gwds_nopic1"/>
    <w:basedOn w:val="11"/>
    <w:qFormat/>
    <w:uiPriority w:val="0"/>
  </w:style>
  <w:style w:type="character" w:customStyle="1" w:styleId="33">
    <w:name w:val="gwds_nopic2"/>
    <w:basedOn w:val="11"/>
    <w:qFormat/>
    <w:uiPriority w:val="0"/>
  </w:style>
  <w:style w:type="character" w:customStyle="1" w:styleId="34">
    <w:name w:val="on"/>
    <w:basedOn w:val="11"/>
    <w:qFormat/>
    <w:uiPriority w:val="0"/>
    <w:rPr>
      <w:color w:val="FFFFFF"/>
    </w:rPr>
  </w:style>
  <w:style w:type="character" w:customStyle="1" w:styleId="35">
    <w:name w:val="on4"/>
    <w:basedOn w:val="11"/>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chart" Target="charts/chart24.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footnotes" Target="footnotes.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Workbook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Workbook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Workbook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Workbook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Workbook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Workbook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2-1 2012/2013</a:t>
            </a:r>
            <a:r>
              <a:rPr lang="zh-CN" altLang="zh-CN" sz="1100" b="1">
                <a:effectLst/>
                <a:latin typeface="+mn-ea"/>
                <a:ea typeface="+mn-ea"/>
              </a:rPr>
              <a:t>年度</a:t>
            </a:r>
            <a:r>
              <a:rPr lang="en-US" altLang="zh-CN" sz="1100" b="1">
                <a:effectLst/>
                <a:latin typeface="+mn-ea"/>
                <a:ea typeface="+mn-ea"/>
              </a:rPr>
              <a:t>-2016/2017</a:t>
            </a:r>
            <a:r>
              <a:rPr lang="zh-CN" altLang="zh-CN" sz="1100" b="1">
                <a:effectLst/>
                <a:latin typeface="+mn-ea"/>
                <a:ea typeface="+mn-ea"/>
              </a:rPr>
              <a:t>年度全国新体制棉花检验量情况对比图</a:t>
            </a:r>
            <a:endParaRPr lang="zh-CN" altLang="zh-CN" sz="1100">
              <a:effectLst/>
              <a:latin typeface="+mn-ea"/>
              <a:ea typeface="+mn-ea"/>
            </a:endParaRPr>
          </a:p>
        </c:rich>
      </c:tx>
      <c:layout>
        <c:manualLayout>
          <c:xMode val="edge"/>
          <c:yMode val="edge"/>
          <c:x val="0.155638230254795"/>
          <c:y val="0.876367389060887"/>
        </c:manualLayout>
      </c:layout>
      <c:overlay val="0"/>
    </c:title>
    <c:autoTitleDeleted val="0"/>
    <c:plotArea>
      <c:layout>
        <c:manualLayout>
          <c:layoutTarget val="inner"/>
          <c:xMode val="edge"/>
          <c:yMode val="edge"/>
          <c:x val="0.220685784209406"/>
          <c:y val="0.0535814273215848"/>
          <c:w val="0.747782684259062"/>
          <c:h val="0.492193788276465"/>
        </c:manualLayout>
      </c:layout>
      <c:barChart>
        <c:barDir val="col"/>
        <c:grouping val="clustered"/>
        <c:varyColors val="0"/>
        <c:ser>
          <c:idx val="0"/>
          <c:order val="0"/>
          <c:tx>
            <c:strRef>
              <c:f>Sheet1!$B$1</c:f>
              <c:strCache>
                <c:ptCount val="1"/>
                <c:pt idx="0">
                  <c:v>加工企业（家）</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General</c:formatCode>
                <c:ptCount val="5"/>
                <c:pt idx="0">
                  <c:v>1806</c:v>
                </c:pt>
                <c:pt idx="1">
                  <c:v>1789</c:v>
                </c:pt>
                <c:pt idx="2">
                  <c:v>1542</c:v>
                </c:pt>
                <c:pt idx="3">
                  <c:v>1100</c:v>
                </c:pt>
                <c:pt idx="4">
                  <c:v>987</c:v>
                </c:pt>
              </c:numCache>
            </c:numRef>
          </c:val>
        </c:ser>
        <c:ser>
          <c:idx val="1"/>
          <c:order val="1"/>
          <c:tx>
            <c:strRef>
              <c:f>Sheet1!$C$1</c:f>
              <c:strCache>
                <c:ptCount val="1"/>
                <c:pt idx="0">
                  <c:v>包数（万包）</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0.0_ </c:formatCode>
                <c:ptCount val="5"/>
                <c:pt idx="0">
                  <c:v>3183.1</c:v>
                </c:pt>
                <c:pt idx="1">
                  <c:v>3268.2</c:v>
                </c:pt>
                <c:pt idx="2">
                  <c:v>2271</c:v>
                </c:pt>
                <c:pt idx="3">
                  <c:v>1589.2</c:v>
                </c:pt>
                <c:pt idx="4">
                  <c:v>1835</c:v>
                </c:pt>
              </c:numCache>
            </c:numRef>
          </c:val>
        </c:ser>
        <c:ser>
          <c:idx val="2"/>
          <c:order val="2"/>
          <c:tx>
            <c:strRef>
              <c:f>Sheet1!$D$1</c:f>
              <c:strCache>
                <c:ptCount val="1"/>
                <c:pt idx="0">
                  <c:v>重量（万吨）</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0.0_ </c:formatCode>
                <c:ptCount val="5"/>
                <c:pt idx="0">
                  <c:v>720.7</c:v>
                </c:pt>
                <c:pt idx="1">
                  <c:v>741</c:v>
                </c:pt>
                <c:pt idx="2">
                  <c:v>514.2</c:v>
                </c:pt>
                <c:pt idx="3">
                  <c:v>360</c:v>
                </c:pt>
                <c:pt idx="4" c:formatCode="General">
                  <c:v>415.7</c:v>
                </c:pt>
              </c:numCache>
            </c:numRef>
          </c:val>
        </c:ser>
        <c:dLbls>
          <c:showLegendKey val="0"/>
          <c:showVal val="0"/>
          <c:showCatName val="0"/>
          <c:showSerName val="0"/>
          <c:showPercent val="0"/>
          <c:showBubbleSize val="0"/>
        </c:dLbls>
        <c:gapWidth val="150"/>
        <c:axId val="212638336"/>
        <c:axId val="216941312"/>
      </c:barChart>
      <c:catAx>
        <c:axId val="2126383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6941312"/>
        <c:crosses val="autoZero"/>
        <c:auto val="1"/>
        <c:lblAlgn val="ctr"/>
        <c:lblOffset val="100"/>
        <c:noMultiLvlLbl val="0"/>
      </c:catAx>
      <c:valAx>
        <c:axId val="21694131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63833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solidFill>
        <a:schemeClr val="bg1"/>
      </a:solidFill>
      <a:prstDash val="solid"/>
      <a:round/>
    </a:ln>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3-1-3 2016/2017</a:t>
            </a:r>
            <a:r>
              <a:rPr lang="zh-CN" altLang="zh-CN" sz="1100" b="1" i="0" baseline="0">
                <a:effectLst/>
                <a:latin typeface="+mn-ea"/>
                <a:ea typeface="+mn-ea"/>
              </a:rPr>
              <a:t>年度</a:t>
            </a:r>
            <a:r>
              <a:rPr lang="zh-CN" altLang="en-US" sz="1100" b="1" i="0" baseline="0">
                <a:effectLst/>
                <a:latin typeface="+mn-ea"/>
                <a:ea typeface="+mn-ea"/>
              </a:rPr>
              <a:t>西北内陆</a:t>
            </a:r>
            <a:r>
              <a:rPr lang="zh-CN" altLang="zh-CN" sz="1100" b="1" i="0" baseline="0">
                <a:effectLst/>
                <a:latin typeface="+mn-ea"/>
                <a:ea typeface="+mn-ea"/>
              </a:rPr>
              <a:t>棉区颜色级占比分布图</a:t>
            </a:r>
            <a:endParaRPr lang="zh-CN" altLang="zh-CN" sz="1100">
              <a:effectLst/>
              <a:latin typeface="+mn-ea"/>
              <a:ea typeface="+mn-ea"/>
            </a:endParaRPr>
          </a:p>
        </c:rich>
      </c:tx>
      <c:layout>
        <c:manualLayout>
          <c:xMode val="edge"/>
          <c:yMode val="edge"/>
          <c:x val="0.184861111111111"/>
          <c:y val="0.94336569579288"/>
        </c:manualLayout>
      </c:layout>
      <c:overlay val="0"/>
    </c:title>
    <c:autoTitleDeleted val="0"/>
    <c:plotArea>
      <c:layout>
        <c:manualLayout>
          <c:layoutTarget val="inner"/>
          <c:xMode val="edge"/>
          <c:yMode val="edge"/>
          <c:x val="0.199200204141149"/>
          <c:y val="0.0250849833091252"/>
          <c:w val="0.775336832895888"/>
          <c:h val="0.529855515633361"/>
        </c:manualLayout>
      </c:layout>
      <c:barChart>
        <c:barDir val="col"/>
        <c:grouping val="percentStacked"/>
        <c:varyColors val="0"/>
        <c:ser>
          <c:idx val="0"/>
          <c:order val="0"/>
          <c:tx>
            <c:strRef>
              <c:f>Sheet1!$B$1</c:f>
              <c:strCache>
                <c:ptCount val="1"/>
                <c:pt idx="0">
                  <c:v>白棉1级</c:v>
                </c:pt>
              </c:strCache>
            </c:strRef>
          </c:tx>
          <c:invertIfNegative val="0"/>
          <c:dLbls>
            <c:delete val="1"/>
          </c:dLbls>
          <c:cat>
            <c:strRef>
              <c:f>Sheet1!$A$2:$A$4</c:f>
              <c:strCache>
                <c:ptCount val="3"/>
                <c:pt idx="0">
                  <c:v>全国</c:v>
                </c:pt>
                <c:pt idx="1">
                  <c:v>甘肃</c:v>
                </c:pt>
                <c:pt idx="2">
                  <c:v>新疆</c:v>
                </c:pt>
              </c:strCache>
            </c:strRef>
          </c:cat>
          <c:val>
            <c:numRef>
              <c:f>Sheet1!$B$2:$B$4</c:f>
              <c:numCache>
                <c:formatCode>0.0%</c:formatCode>
                <c:ptCount val="3"/>
                <c:pt idx="0">
                  <c:v>0.011</c:v>
                </c:pt>
                <c:pt idx="1">
                  <c:v>0.006</c:v>
                </c:pt>
                <c:pt idx="2">
                  <c:v>0.011</c:v>
                </c:pt>
              </c:numCache>
            </c:numRef>
          </c:val>
        </c:ser>
        <c:ser>
          <c:idx val="1"/>
          <c:order val="1"/>
          <c:tx>
            <c:strRef>
              <c:f>Sheet1!$C$1</c:f>
              <c:strCache>
                <c:ptCount val="1"/>
                <c:pt idx="0">
                  <c:v>白棉2级</c:v>
                </c:pt>
              </c:strCache>
            </c:strRef>
          </c:tx>
          <c:invertIfNegative val="0"/>
          <c:dLbls>
            <c:delete val="1"/>
          </c:dLbls>
          <c:cat>
            <c:strRef>
              <c:f>Sheet1!$A$2:$A$4</c:f>
              <c:strCache>
                <c:ptCount val="3"/>
                <c:pt idx="0">
                  <c:v>全国</c:v>
                </c:pt>
                <c:pt idx="1">
                  <c:v>甘肃</c:v>
                </c:pt>
                <c:pt idx="2">
                  <c:v>新疆</c:v>
                </c:pt>
              </c:strCache>
            </c:strRef>
          </c:cat>
          <c:val>
            <c:numRef>
              <c:f>Sheet1!$C$2:$C$4</c:f>
              <c:numCache>
                <c:formatCode>0.0%</c:formatCode>
                <c:ptCount val="3"/>
                <c:pt idx="0">
                  <c:v>0.219</c:v>
                </c:pt>
                <c:pt idx="1">
                  <c:v>0.564</c:v>
                </c:pt>
                <c:pt idx="2">
                  <c:v>0.228</c:v>
                </c:pt>
              </c:numCache>
            </c:numRef>
          </c:val>
        </c:ser>
        <c:ser>
          <c:idx val="2"/>
          <c:order val="2"/>
          <c:tx>
            <c:strRef>
              <c:f>Sheet1!$D$1</c:f>
              <c:strCache>
                <c:ptCount val="1"/>
                <c:pt idx="0">
                  <c:v>白棉3级</c:v>
                </c:pt>
              </c:strCache>
            </c:strRef>
          </c:tx>
          <c:invertIfNegative val="0"/>
          <c:dLbls>
            <c:delete val="1"/>
          </c:dLbls>
          <c:cat>
            <c:strRef>
              <c:f>Sheet1!$A$2:$A$4</c:f>
              <c:strCache>
                <c:ptCount val="3"/>
                <c:pt idx="0">
                  <c:v>全国</c:v>
                </c:pt>
                <c:pt idx="1">
                  <c:v>甘肃</c:v>
                </c:pt>
                <c:pt idx="2">
                  <c:v>新疆</c:v>
                </c:pt>
              </c:strCache>
            </c:strRef>
          </c:cat>
          <c:val>
            <c:numRef>
              <c:f>Sheet1!$D$2:$D$4</c:f>
              <c:numCache>
                <c:formatCode>0.0%</c:formatCode>
                <c:ptCount val="3"/>
                <c:pt idx="0">
                  <c:v>0.633</c:v>
                </c:pt>
                <c:pt idx="1">
                  <c:v>0.358</c:v>
                </c:pt>
                <c:pt idx="2">
                  <c:v>0.649</c:v>
                </c:pt>
              </c:numCache>
            </c:numRef>
          </c:val>
        </c:ser>
        <c:ser>
          <c:idx val="3"/>
          <c:order val="3"/>
          <c:tx>
            <c:strRef>
              <c:f>Sheet1!$E$1</c:f>
              <c:strCache>
                <c:ptCount val="1"/>
                <c:pt idx="0">
                  <c:v>白棉4级</c:v>
                </c:pt>
              </c:strCache>
            </c:strRef>
          </c:tx>
          <c:invertIfNegative val="0"/>
          <c:dLbls>
            <c:delete val="1"/>
          </c:dLbls>
          <c:cat>
            <c:strRef>
              <c:f>Sheet1!$A$2:$A$4</c:f>
              <c:strCache>
                <c:ptCount val="3"/>
                <c:pt idx="0">
                  <c:v>全国</c:v>
                </c:pt>
                <c:pt idx="1">
                  <c:v>甘肃</c:v>
                </c:pt>
                <c:pt idx="2">
                  <c:v>新疆</c:v>
                </c:pt>
              </c:strCache>
            </c:strRef>
          </c:cat>
          <c:val>
            <c:numRef>
              <c:f>Sheet1!$E$2:$E$4</c:f>
              <c:numCache>
                <c:formatCode>0.0%</c:formatCode>
                <c:ptCount val="3"/>
                <c:pt idx="0">
                  <c:v>0.084</c:v>
                </c:pt>
                <c:pt idx="1">
                  <c:v>0</c:v>
                </c:pt>
                <c:pt idx="2">
                  <c:v>0.084</c:v>
                </c:pt>
              </c:numCache>
            </c:numRef>
          </c:val>
        </c:ser>
        <c:ser>
          <c:idx val="4"/>
          <c:order val="4"/>
          <c:tx>
            <c:strRef>
              <c:f>Sheet1!$F$1</c:f>
              <c:strCache>
                <c:ptCount val="1"/>
                <c:pt idx="0">
                  <c:v>白棉5级</c:v>
                </c:pt>
              </c:strCache>
            </c:strRef>
          </c:tx>
          <c:invertIfNegative val="0"/>
          <c:dLbls>
            <c:delete val="1"/>
          </c:dLbls>
          <c:cat>
            <c:strRef>
              <c:f>Sheet1!$A$2:$A$4</c:f>
              <c:strCache>
                <c:ptCount val="3"/>
                <c:pt idx="0">
                  <c:v>全国</c:v>
                </c:pt>
                <c:pt idx="1">
                  <c:v>甘肃</c:v>
                </c:pt>
                <c:pt idx="2">
                  <c:v>新疆</c:v>
                </c:pt>
              </c:strCache>
            </c:strRef>
          </c:cat>
          <c:val>
            <c:numRef>
              <c:f>Sheet1!$F$2:$F$4</c:f>
              <c:numCache>
                <c:formatCode>0.0%</c:formatCode>
                <c:ptCount val="3"/>
                <c:pt idx="0">
                  <c:v>0.001</c:v>
                </c:pt>
                <c:pt idx="1">
                  <c:v>0</c:v>
                </c:pt>
                <c:pt idx="2">
                  <c:v>0.001</c:v>
                </c:pt>
              </c:numCache>
            </c:numRef>
          </c:val>
        </c:ser>
        <c:ser>
          <c:idx val="5"/>
          <c:order val="5"/>
          <c:tx>
            <c:strRef>
              <c:f>Sheet1!$G$1</c:f>
              <c:strCache>
                <c:ptCount val="1"/>
                <c:pt idx="0">
                  <c:v>淡点污棉1级</c:v>
                </c:pt>
              </c:strCache>
            </c:strRef>
          </c:tx>
          <c:invertIfNegative val="0"/>
          <c:dLbls>
            <c:delete val="1"/>
          </c:dLbls>
          <c:cat>
            <c:strRef>
              <c:f>Sheet1!$A$2:$A$4</c:f>
              <c:strCache>
                <c:ptCount val="3"/>
                <c:pt idx="0">
                  <c:v>全国</c:v>
                </c:pt>
                <c:pt idx="1">
                  <c:v>甘肃</c:v>
                </c:pt>
                <c:pt idx="2">
                  <c:v>新疆</c:v>
                </c:pt>
              </c:strCache>
            </c:strRef>
          </c:cat>
          <c:val>
            <c:numRef>
              <c:f>Sheet1!$G$2:$G$4</c:f>
              <c:numCache>
                <c:formatCode>0.0%</c:formatCode>
                <c:ptCount val="3"/>
                <c:pt idx="0">
                  <c:v>0.015</c:v>
                </c:pt>
                <c:pt idx="1">
                  <c:v>0.065</c:v>
                </c:pt>
                <c:pt idx="2">
                  <c:v>0.007</c:v>
                </c:pt>
              </c:numCache>
            </c:numRef>
          </c:val>
        </c:ser>
        <c:ser>
          <c:idx val="6"/>
          <c:order val="6"/>
          <c:tx>
            <c:strRef>
              <c:f>Sheet1!$H$1</c:f>
              <c:strCache>
                <c:ptCount val="1"/>
                <c:pt idx="0">
                  <c:v>淡点污棉2级</c:v>
                </c:pt>
              </c:strCache>
            </c:strRef>
          </c:tx>
          <c:invertIfNegative val="0"/>
          <c:dLbls>
            <c:delete val="1"/>
          </c:dLbls>
          <c:cat>
            <c:strRef>
              <c:f>Sheet1!$A$2:$A$4</c:f>
              <c:strCache>
                <c:ptCount val="3"/>
                <c:pt idx="0">
                  <c:v>全国</c:v>
                </c:pt>
                <c:pt idx="1">
                  <c:v>甘肃</c:v>
                </c:pt>
                <c:pt idx="2">
                  <c:v>新疆</c:v>
                </c:pt>
              </c:strCache>
            </c:strRef>
          </c:cat>
          <c:val>
            <c:numRef>
              <c:f>Sheet1!$H$2:$H$4</c:f>
              <c:numCache>
                <c:formatCode>0.0%</c:formatCode>
                <c:ptCount val="3"/>
                <c:pt idx="0">
                  <c:v>0.018</c:v>
                </c:pt>
                <c:pt idx="1">
                  <c:v>0.001</c:v>
                </c:pt>
                <c:pt idx="2">
                  <c:v>0.008</c:v>
                </c:pt>
              </c:numCache>
            </c:numRef>
          </c:val>
        </c:ser>
        <c:ser>
          <c:idx val="7"/>
          <c:order val="7"/>
          <c:tx>
            <c:strRef>
              <c:f>Sheet1!$I$1</c:f>
              <c:strCache>
                <c:ptCount val="1"/>
                <c:pt idx="0">
                  <c:v>淡点污棉3级</c:v>
                </c:pt>
              </c:strCache>
            </c:strRef>
          </c:tx>
          <c:invertIfNegative val="0"/>
          <c:dLbls>
            <c:delete val="1"/>
          </c:dLbls>
          <c:cat>
            <c:strRef>
              <c:f>Sheet1!$A$2:$A$4</c:f>
              <c:strCache>
                <c:ptCount val="3"/>
                <c:pt idx="0">
                  <c:v>全国</c:v>
                </c:pt>
                <c:pt idx="1">
                  <c:v>甘肃</c:v>
                </c:pt>
                <c:pt idx="2">
                  <c:v>新疆</c:v>
                </c:pt>
              </c:strCache>
            </c:strRef>
          </c:cat>
          <c:val>
            <c:numRef>
              <c:f>Sheet1!$I$2:$I$4</c:f>
              <c:numCache>
                <c:formatCode>0.0%</c:formatCode>
                <c:ptCount val="3"/>
                <c:pt idx="0">
                  <c:v>0.01</c:v>
                </c:pt>
                <c:pt idx="1">
                  <c:v>0</c:v>
                </c:pt>
                <c:pt idx="2">
                  <c:v>0.006</c:v>
                </c:pt>
              </c:numCache>
            </c:numRef>
          </c:val>
        </c:ser>
        <c:ser>
          <c:idx val="8"/>
          <c:order val="8"/>
          <c:tx>
            <c:strRef>
              <c:f>Sheet1!$J$1</c:f>
              <c:strCache>
                <c:ptCount val="1"/>
                <c:pt idx="0">
                  <c:v>淡黄染棉1级</c:v>
                </c:pt>
              </c:strCache>
            </c:strRef>
          </c:tx>
          <c:invertIfNegative val="0"/>
          <c:dLbls>
            <c:delete val="1"/>
          </c:dLbls>
          <c:cat>
            <c:strRef>
              <c:f>Sheet1!$A$2:$A$4</c:f>
              <c:strCache>
                <c:ptCount val="3"/>
                <c:pt idx="0">
                  <c:v>全国</c:v>
                </c:pt>
                <c:pt idx="1">
                  <c:v>甘肃</c:v>
                </c:pt>
                <c:pt idx="2">
                  <c:v>新疆</c:v>
                </c:pt>
              </c:strCache>
            </c:strRef>
          </c:cat>
          <c:val>
            <c:numRef>
              <c:f>Sheet1!$J$2:$J$4</c:f>
              <c:numCache>
                <c:formatCode>0.0%</c:formatCode>
                <c:ptCount val="3"/>
                <c:pt idx="0">
                  <c:v>0.002</c:v>
                </c:pt>
                <c:pt idx="1">
                  <c:v>0.003</c:v>
                </c:pt>
                <c:pt idx="2">
                  <c:v>0.001</c:v>
                </c:pt>
              </c:numCache>
            </c:numRef>
          </c:val>
        </c:ser>
        <c:ser>
          <c:idx val="9"/>
          <c:order val="9"/>
          <c:tx>
            <c:strRef>
              <c:f>Sheet1!$K$1</c:f>
              <c:strCache>
                <c:ptCount val="1"/>
                <c:pt idx="0">
                  <c:v>淡黄染棉2级</c:v>
                </c:pt>
              </c:strCache>
            </c:strRef>
          </c:tx>
          <c:invertIfNegative val="0"/>
          <c:dLbls>
            <c:delete val="1"/>
          </c:dLbls>
          <c:cat>
            <c:strRef>
              <c:f>Sheet1!$A$2:$A$4</c:f>
              <c:strCache>
                <c:ptCount val="3"/>
                <c:pt idx="0">
                  <c:v>全国</c:v>
                </c:pt>
                <c:pt idx="1">
                  <c:v>甘肃</c:v>
                </c:pt>
                <c:pt idx="2">
                  <c:v>新疆</c:v>
                </c:pt>
              </c:strCache>
            </c:strRef>
          </c:cat>
          <c:val>
            <c:numRef>
              <c:f>Sheet1!$K$2:$K$4</c:f>
              <c:numCache>
                <c:formatCode>0.0%</c:formatCode>
                <c:ptCount val="3"/>
                <c:pt idx="0">
                  <c:v>0.003</c:v>
                </c:pt>
                <c:pt idx="1">
                  <c:v>0.002</c:v>
                </c:pt>
                <c:pt idx="2">
                  <c:v>0.001</c:v>
                </c:pt>
              </c:numCache>
            </c:numRef>
          </c:val>
        </c:ser>
        <c:ser>
          <c:idx val="10"/>
          <c:order val="10"/>
          <c:tx>
            <c:strRef>
              <c:f>Sheet1!$L$1</c:f>
              <c:strCache>
                <c:ptCount val="1"/>
                <c:pt idx="0">
                  <c:v>淡黄染棉3级</c:v>
                </c:pt>
              </c:strCache>
            </c:strRef>
          </c:tx>
          <c:invertIfNegative val="0"/>
          <c:dLbls>
            <c:delete val="1"/>
          </c:dLbls>
          <c:cat>
            <c:strRef>
              <c:f>Sheet1!$A$2:$A$4</c:f>
              <c:strCache>
                <c:ptCount val="3"/>
                <c:pt idx="0">
                  <c:v>全国</c:v>
                </c:pt>
                <c:pt idx="1">
                  <c:v>甘肃</c:v>
                </c:pt>
                <c:pt idx="2">
                  <c:v>新疆</c:v>
                </c:pt>
              </c:strCache>
            </c:strRef>
          </c:cat>
          <c:val>
            <c:numRef>
              <c:f>Sheet1!$L$2:$L$4</c:f>
              <c:numCache>
                <c:formatCode>0.0%</c:formatCode>
                <c:ptCount val="3"/>
                <c:pt idx="0">
                  <c:v>0.005</c:v>
                </c:pt>
                <c:pt idx="1">
                  <c:v>0</c:v>
                </c:pt>
                <c:pt idx="2">
                  <c:v>0.004</c:v>
                </c:pt>
              </c:numCache>
            </c:numRef>
          </c:val>
        </c:ser>
        <c:ser>
          <c:idx val="11"/>
          <c:order val="11"/>
          <c:tx>
            <c:strRef>
              <c:f>Sheet1!$M$1</c:f>
              <c:strCache>
                <c:ptCount val="1"/>
                <c:pt idx="0">
                  <c:v>黄染棉1级</c:v>
                </c:pt>
              </c:strCache>
            </c:strRef>
          </c:tx>
          <c:invertIfNegative val="0"/>
          <c:dLbls>
            <c:delete val="1"/>
          </c:dLbls>
          <c:cat>
            <c:strRef>
              <c:f>Sheet1!$A$2:$A$4</c:f>
              <c:strCache>
                <c:ptCount val="3"/>
                <c:pt idx="0">
                  <c:v>全国</c:v>
                </c:pt>
                <c:pt idx="1">
                  <c:v>甘肃</c:v>
                </c:pt>
                <c:pt idx="2">
                  <c:v>新疆</c:v>
                </c:pt>
              </c:strCache>
            </c:strRef>
          </c:cat>
          <c:val>
            <c:numRef>
              <c:f>Sheet1!$M$2:$M$4</c:f>
              <c:numCache>
                <c:formatCode>0.0%</c:formatCode>
                <c:ptCount val="3"/>
                <c:pt idx="0">
                  <c:v>0</c:v>
                </c:pt>
                <c:pt idx="1">
                  <c:v>0</c:v>
                </c:pt>
                <c:pt idx="2">
                  <c:v>0</c:v>
                </c:pt>
              </c:numCache>
            </c:numRef>
          </c:val>
        </c:ser>
        <c:ser>
          <c:idx val="12"/>
          <c:order val="12"/>
          <c:tx>
            <c:strRef>
              <c:f>Sheet1!$N$1</c:f>
              <c:strCache>
                <c:ptCount val="1"/>
                <c:pt idx="0">
                  <c:v>黄染棉2级</c:v>
                </c:pt>
              </c:strCache>
            </c:strRef>
          </c:tx>
          <c:invertIfNegative val="0"/>
          <c:dLbls>
            <c:delete val="1"/>
          </c:dLbls>
          <c:cat>
            <c:strRef>
              <c:f>Sheet1!$A$2:$A$4</c:f>
              <c:strCache>
                <c:ptCount val="3"/>
                <c:pt idx="0">
                  <c:v>全国</c:v>
                </c:pt>
                <c:pt idx="1">
                  <c:v>甘肃</c:v>
                </c:pt>
                <c:pt idx="2">
                  <c:v>新疆</c:v>
                </c:pt>
              </c:strCache>
            </c:strRef>
          </c:cat>
          <c:val>
            <c:numRef>
              <c:f>Sheet1!$N$2:$N$4</c:f>
              <c:numCache>
                <c:formatCode>0.0%</c:formatCode>
                <c:ptCount val="3"/>
                <c:pt idx="0">
                  <c:v>0.001</c:v>
                </c:pt>
                <c:pt idx="1">
                  <c:v>0</c:v>
                </c:pt>
                <c:pt idx="2">
                  <c:v>0.001</c:v>
                </c:pt>
              </c:numCache>
            </c:numRef>
          </c:val>
        </c:ser>
        <c:dLbls>
          <c:showLegendKey val="0"/>
          <c:showVal val="0"/>
          <c:showCatName val="0"/>
          <c:showSerName val="0"/>
          <c:showPercent val="0"/>
          <c:showBubbleSize val="0"/>
        </c:dLbls>
        <c:gapWidth val="95"/>
        <c:overlap val="100"/>
        <c:axId val="177179264"/>
        <c:axId val="177185152"/>
      </c:barChart>
      <c:catAx>
        <c:axId val="1771792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185152"/>
        <c:crosses val="autoZero"/>
        <c:auto val="1"/>
        <c:lblAlgn val="ctr"/>
        <c:lblOffset val="100"/>
        <c:noMultiLvlLbl val="0"/>
      </c:catAx>
      <c:valAx>
        <c:axId val="177185152"/>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17926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3-2 2013/2014</a:t>
            </a:r>
            <a:r>
              <a:rPr lang="zh-CN" altLang="zh-CN" sz="1100" b="1" i="0" u="none" strike="noStrike" baseline="0">
                <a:effectLst/>
                <a:latin typeface="+mn-ea"/>
                <a:ea typeface="+mn-ea"/>
              </a:rPr>
              <a:t>年度</a:t>
            </a:r>
            <a:r>
              <a:rPr lang="en-US" altLang="zh-CN" sz="1100" b="1" i="0" u="none" strike="noStrike" baseline="0">
                <a:effectLst/>
                <a:latin typeface="+mn-ea"/>
                <a:ea typeface="+mn-ea"/>
              </a:rPr>
              <a:t>-2016/2017</a:t>
            </a:r>
            <a:r>
              <a:rPr lang="zh-CN" altLang="zh-CN" sz="1100" b="1" i="0" u="none" strike="noStrike" baseline="0">
                <a:effectLst/>
                <a:latin typeface="+mn-ea"/>
                <a:ea typeface="+mn-ea"/>
              </a:rPr>
              <a:t>年度全国</a:t>
            </a:r>
            <a:r>
              <a:rPr lang="zh-CN" altLang="en-US" sz="1100" b="1" i="0" u="none" strike="noStrike" baseline="0">
                <a:effectLst/>
                <a:latin typeface="+mn-ea"/>
                <a:ea typeface="+mn-ea"/>
              </a:rPr>
              <a:t>颜色级占比变化图</a:t>
            </a:r>
            <a:endParaRPr lang="zh-CN" altLang="en-US" sz="1100">
              <a:latin typeface="+mn-ea"/>
              <a:ea typeface="+mn-ea"/>
            </a:endParaRPr>
          </a:p>
        </c:rich>
      </c:tx>
      <c:layout>
        <c:manualLayout>
          <c:xMode val="edge"/>
          <c:yMode val="edge"/>
          <c:x val="0.173287037037037"/>
          <c:y val="0.952610441767068"/>
        </c:manualLayout>
      </c:layout>
      <c:overlay val="0"/>
    </c:title>
    <c:autoTitleDeleted val="0"/>
    <c:plotArea>
      <c:layout>
        <c:manualLayout>
          <c:layoutTarget val="inner"/>
          <c:xMode val="edge"/>
          <c:yMode val="edge"/>
          <c:x val="0.203829833770779"/>
          <c:y val="0.00980324447395883"/>
          <c:w val="0.788461832895888"/>
          <c:h val="0.561205957689024"/>
        </c:manualLayout>
      </c:layout>
      <c:barChart>
        <c:barDir val="col"/>
        <c:grouping val="percentStacked"/>
        <c:varyColors val="0"/>
        <c:ser>
          <c:idx val="0"/>
          <c:order val="0"/>
          <c:tx>
            <c:strRef>
              <c:f>Sheet1!$B$1</c:f>
              <c:strCache>
                <c:ptCount val="1"/>
                <c:pt idx="0">
                  <c:v>白棉1级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Sheet1!$B$2:$B$5</c:f>
              <c:numCache>
                <c:formatCode>0.0%</c:formatCode>
                <c:ptCount val="4"/>
                <c:pt idx="0">
                  <c:v>0.1013</c:v>
                </c:pt>
                <c:pt idx="1">
                  <c:v>0.0381</c:v>
                </c:pt>
                <c:pt idx="2">
                  <c:v>0.0309289305419992</c:v>
                </c:pt>
                <c:pt idx="3">
                  <c:v>0.011</c:v>
                </c:pt>
              </c:numCache>
            </c:numRef>
          </c:val>
        </c:ser>
        <c:ser>
          <c:idx val="1"/>
          <c:order val="1"/>
          <c:tx>
            <c:strRef>
              <c:f>Sheet1!$C$1</c:f>
              <c:strCache>
                <c:ptCount val="1"/>
                <c:pt idx="0">
                  <c:v>白棉2级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Sheet1!$C$2:$C$5</c:f>
              <c:numCache>
                <c:formatCode>0.0%</c:formatCode>
                <c:ptCount val="4"/>
                <c:pt idx="0">
                  <c:v>0.3418</c:v>
                </c:pt>
                <c:pt idx="1">
                  <c:v>0.3208</c:v>
                </c:pt>
                <c:pt idx="2">
                  <c:v>0.362083199119824</c:v>
                </c:pt>
                <c:pt idx="3">
                  <c:v>0.219</c:v>
                </c:pt>
              </c:numCache>
            </c:numRef>
          </c:val>
        </c:ser>
        <c:ser>
          <c:idx val="2"/>
          <c:order val="2"/>
          <c:tx>
            <c:strRef>
              <c:f>Sheet1!$D$1</c:f>
              <c:strCache>
                <c:ptCount val="1"/>
                <c:pt idx="0">
                  <c:v>白棉3级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Sheet1!$D$2:$D$5</c:f>
              <c:numCache>
                <c:formatCode>0.0%</c:formatCode>
                <c:ptCount val="4"/>
                <c:pt idx="0">
                  <c:v>0.3203</c:v>
                </c:pt>
                <c:pt idx="1">
                  <c:v>0.4874</c:v>
                </c:pt>
                <c:pt idx="2">
                  <c:v>0.49567488306961</c:v>
                </c:pt>
                <c:pt idx="3">
                  <c:v>0.633</c:v>
                </c:pt>
              </c:numCache>
            </c:numRef>
          </c:val>
        </c:ser>
        <c:ser>
          <c:idx val="3"/>
          <c:order val="3"/>
          <c:tx>
            <c:strRef>
              <c:f>Sheet1!$E$1</c:f>
              <c:strCache>
                <c:ptCount val="1"/>
                <c:pt idx="0">
                  <c:v>白棉4级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Sheet1!$E$2:$E$5</c:f>
              <c:numCache>
                <c:formatCode>0.0%</c:formatCode>
                <c:ptCount val="4"/>
                <c:pt idx="0">
                  <c:v>0.0278</c:v>
                </c:pt>
                <c:pt idx="1">
                  <c:v>0.0423</c:v>
                </c:pt>
                <c:pt idx="2">
                  <c:v>0.0701031846676021</c:v>
                </c:pt>
                <c:pt idx="3">
                  <c:v>0.084</c:v>
                </c:pt>
              </c:numCache>
            </c:numRef>
          </c:val>
        </c:ser>
        <c:ser>
          <c:idx val="4"/>
          <c:order val="4"/>
          <c:tx>
            <c:strRef>
              <c:f>Sheet1!$F$1</c:f>
              <c:strCache>
                <c:ptCount val="1"/>
                <c:pt idx="0">
                  <c:v>白棉5级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Sheet1!$F$2:$F$5</c:f>
              <c:numCache>
                <c:formatCode>0.0%</c:formatCode>
                <c:ptCount val="4"/>
                <c:pt idx="0">
                  <c:v>0.0003</c:v>
                </c:pt>
                <c:pt idx="1">
                  <c:v>0.0008</c:v>
                </c:pt>
                <c:pt idx="2">
                  <c:v>0.000454716862668474</c:v>
                </c:pt>
                <c:pt idx="3">
                  <c:v>0.001</c:v>
                </c:pt>
              </c:numCache>
            </c:numRef>
          </c:val>
        </c:ser>
        <c:ser>
          <c:idx val="5"/>
          <c:order val="5"/>
          <c:tx>
            <c:strRef>
              <c:f>Sheet1!$G$1</c:f>
              <c:strCache>
                <c:ptCount val="1"/>
                <c:pt idx="0">
                  <c:v>淡点污棉1级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Sheet1!$G$2:$G$5</c:f>
              <c:numCache>
                <c:formatCode>0.0%</c:formatCode>
                <c:ptCount val="4"/>
                <c:pt idx="0">
                  <c:v>0.0519</c:v>
                </c:pt>
                <c:pt idx="1">
                  <c:v>0.0533</c:v>
                </c:pt>
                <c:pt idx="2">
                  <c:v>0.0159934764242222</c:v>
                </c:pt>
                <c:pt idx="3">
                  <c:v>0.015</c:v>
                </c:pt>
              </c:numCache>
            </c:numRef>
          </c:val>
        </c:ser>
        <c:ser>
          <c:idx val="6"/>
          <c:order val="6"/>
          <c:tx>
            <c:strRef>
              <c:f>Sheet1!$H$1</c:f>
              <c:strCache>
                <c:ptCount val="1"/>
                <c:pt idx="0">
                  <c:v>淡点污棉2级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Sheet1!$H$2:$H$5</c:f>
              <c:numCache>
                <c:formatCode>0.0%</c:formatCode>
                <c:ptCount val="4"/>
                <c:pt idx="0">
                  <c:v>0.1397</c:v>
                </c:pt>
                <c:pt idx="1">
                  <c:v>0.0357</c:v>
                </c:pt>
                <c:pt idx="2">
                  <c:v>0.0132614669273403</c:v>
                </c:pt>
                <c:pt idx="3">
                  <c:v>0.018</c:v>
                </c:pt>
              </c:numCache>
            </c:numRef>
          </c:val>
        </c:ser>
        <c:ser>
          <c:idx val="7"/>
          <c:order val="7"/>
          <c:tx>
            <c:strRef>
              <c:f>Sheet1!$I$1</c:f>
              <c:strCache>
                <c:ptCount val="1"/>
                <c:pt idx="0">
                  <c:v>淡点污棉3级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Sheet1!$I$2:$I$5</c:f>
              <c:numCache>
                <c:formatCode>0.0%</c:formatCode>
                <c:ptCount val="4"/>
                <c:pt idx="0">
                  <c:v>0.0119</c:v>
                </c:pt>
                <c:pt idx="1">
                  <c:v>0.0141</c:v>
                </c:pt>
                <c:pt idx="2">
                  <c:v>0.00660138657953562</c:v>
                </c:pt>
                <c:pt idx="3">
                  <c:v>0.01</c:v>
                </c:pt>
              </c:numCache>
            </c:numRef>
          </c:val>
        </c:ser>
        <c:ser>
          <c:idx val="8"/>
          <c:order val="8"/>
          <c:tx>
            <c:strRef>
              <c:f>Sheet1!$J$1</c:f>
              <c:strCache>
                <c:ptCount val="1"/>
                <c:pt idx="0">
                  <c:v>淡黄染棉1级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Sheet1!$J$2:$J$5</c:f>
              <c:numCache>
                <c:formatCode>0.0%</c:formatCode>
                <c:ptCount val="4"/>
                <c:pt idx="0">
                  <c:v>0.0012</c:v>
                </c:pt>
                <c:pt idx="1">
                  <c:v>0.0045</c:v>
                </c:pt>
                <c:pt idx="2">
                  <c:v>0.00154387627711694</c:v>
                </c:pt>
                <c:pt idx="3">
                  <c:v>0.002</c:v>
                </c:pt>
              </c:numCache>
            </c:numRef>
          </c:val>
        </c:ser>
        <c:ser>
          <c:idx val="9"/>
          <c:order val="9"/>
          <c:tx>
            <c:strRef>
              <c:f>Sheet1!$K$1</c:f>
              <c:strCache>
                <c:ptCount val="1"/>
                <c:pt idx="0">
                  <c:v>淡黄染棉2级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Sheet1!$K$2:$K$5</c:f>
              <c:numCache>
                <c:formatCode>0.0%</c:formatCode>
                <c:ptCount val="4"/>
                <c:pt idx="0">
                  <c:v>0.0023</c:v>
                </c:pt>
                <c:pt idx="1">
                  <c:v>0.0015</c:v>
                </c:pt>
                <c:pt idx="2">
                  <c:v>0.00110380088823236</c:v>
                </c:pt>
                <c:pt idx="3">
                  <c:v>0.003</c:v>
                </c:pt>
              </c:numCache>
            </c:numRef>
          </c:val>
        </c:ser>
        <c:ser>
          <c:idx val="10"/>
          <c:order val="10"/>
          <c:tx>
            <c:strRef>
              <c:f>Sheet1!$L$1</c:f>
              <c:strCache>
                <c:ptCount val="1"/>
                <c:pt idx="0">
                  <c:v>淡黄染棉3级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Sheet1!$L$2:$L$5</c:f>
              <c:numCache>
                <c:formatCode>0.0%</c:formatCode>
                <c:ptCount val="4"/>
                <c:pt idx="0">
                  <c:v>0.0012</c:v>
                </c:pt>
                <c:pt idx="1">
                  <c:v>0.0012</c:v>
                </c:pt>
                <c:pt idx="2">
                  <c:v>0.00186183282352446</c:v>
                </c:pt>
                <c:pt idx="3">
                  <c:v>0.005</c:v>
                </c:pt>
              </c:numCache>
            </c:numRef>
          </c:val>
        </c:ser>
        <c:ser>
          <c:idx val="11"/>
          <c:order val="11"/>
          <c:tx>
            <c:strRef>
              <c:f>Sheet1!$M$1</c:f>
              <c:strCache>
                <c:ptCount val="1"/>
                <c:pt idx="0">
                  <c:v>黄染棉1级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Sheet1!$M$2:$M$5</c:f>
              <c:numCache>
                <c:formatCode>0.0%</c:formatCode>
                <c:ptCount val="4"/>
                <c:pt idx="0">
                  <c:v>0</c:v>
                </c:pt>
                <c:pt idx="1">
                  <c:v>0</c:v>
                </c:pt>
                <c:pt idx="2">
                  <c:v>1.02298506787058e-5</c:v>
                </c:pt>
                <c:pt idx="3">
                  <c:v>0</c:v>
                </c:pt>
              </c:numCache>
            </c:numRef>
          </c:val>
        </c:ser>
        <c:ser>
          <c:idx val="12"/>
          <c:order val="12"/>
          <c:tx>
            <c:strRef>
              <c:f>Sheet1!$N$1</c:f>
              <c:strCache>
                <c:ptCount val="1"/>
                <c:pt idx="0">
                  <c:v>黄染棉2级</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Sheet1!$N$2:$N$5</c:f>
              <c:numCache>
                <c:formatCode>0.0%</c:formatCode>
                <c:ptCount val="4"/>
                <c:pt idx="0">
                  <c:v>0.0001</c:v>
                </c:pt>
                <c:pt idx="1">
                  <c:v>0.0001</c:v>
                </c:pt>
                <c:pt idx="2">
                  <c:v>0.000379015967646051</c:v>
                </c:pt>
                <c:pt idx="3">
                  <c:v>0.001</c:v>
                </c:pt>
              </c:numCache>
            </c:numRef>
          </c:val>
        </c:ser>
        <c:dLbls>
          <c:showLegendKey val="0"/>
          <c:showVal val="0"/>
          <c:showCatName val="0"/>
          <c:showSerName val="0"/>
          <c:showPercent val="0"/>
          <c:showBubbleSize val="0"/>
        </c:dLbls>
        <c:gapWidth val="95"/>
        <c:overlap val="100"/>
        <c:axId val="186465280"/>
        <c:axId val="186487552"/>
      </c:barChart>
      <c:catAx>
        <c:axId val="186465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487552"/>
        <c:crosses val="autoZero"/>
        <c:auto val="1"/>
        <c:lblAlgn val="ctr"/>
        <c:lblOffset val="100"/>
        <c:noMultiLvlLbl val="0"/>
      </c:catAx>
      <c:valAx>
        <c:axId val="186487552"/>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4652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3-3 2013/2014</a:t>
            </a:r>
            <a:r>
              <a:rPr lang="zh-CN" altLang="zh-CN" sz="1100" b="1">
                <a:effectLst/>
                <a:latin typeface="+mn-ea"/>
                <a:ea typeface="+mn-ea"/>
              </a:rPr>
              <a:t>年度</a:t>
            </a:r>
            <a:r>
              <a:rPr lang="en-US" altLang="zh-CN" sz="1100" b="1">
                <a:effectLst/>
                <a:latin typeface="+mn-ea"/>
                <a:ea typeface="+mn-ea"/>
              </a:rPr>
              <a:t>-2016/2017</a:t>
            </a:r>
            <a:r>
              <a:rPr lang="zh-CN" altLang="zh-CN" sz="1100" b="1">
                <a:effectLst/>
                <a:latin typeface="+mn-ea"/>
                <a:ea typeface="+mn-ea"/>
              </a:rPr>
              <a:t>年度全国棉花颜色级变化情况图</a:t>
            </a:r>
            <a:endParaRPr lang="zh-CN" altLang="en-US" sz="1100">
              <a:latin typeface="+mn-ea"/>
              <a:ea typeface="+mn-ea"/>
            </a:endParaRPr>
          </a:p>
        </c:rich>
      </c:tx>
      <c:layout>
        <c:manualLayout>
          <c:xMode val="edge"/>
          <c:yMode val="edge"/>
          <c:x val="0.150138888888889"/>
          <c:y val="0.933333333333333"/>
        </c:manualLayout>
      </c:layout>
      <c:overlay val="0"/>
    </c:title>
    <c:autoTitleDeleted val="0"/>
    <c:plotArea>
      <c:layout>
        <c:manualLayout>
          <c:layoutTarget val="inner"/>
          <c:xMode val="edge"/>
          <c:yMode val="edge"/>
          <c:x val="0.248518018018018"/>
          <c:y val="0.0172413793103448"/>
          <c:w val="0.682112612612613"/>
          <c:h val="0.529310344827586"/>
        </c:manualLayout>
      </c:layout>
      <c:barChart>
        <c:barDir val="col"/>
        <c:grouping val="percentStacked"/>
        <c:varyColors val="0"/>
        <c:ser>
          <c:idx val="0"/>
          <c:order val="0"/>
          <c:tx>
            <c:strRef>
              <c:f>Sheet1!$B$1</c:f>
              <c:strCache>
                <c:ptCount val="1"/>
                <c:pt idx="0">
                  <c:v>白棉占比</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Sheet1!$B$2:$B$5</c:f>
              <c:numCache>
                <c:formatCode>0.0%</c:formatCode>
                <c:ptCount val="4"/>
                <c:pt idx="0">
                  <c:v>0.79161208017325</c:v>
                </c:pt>
                <c:pt idx="1">
                  <c:v>0.8895</c:v>
                </c:pt>
                <c:pt idx="2">
                  <c:v>0.9592</c:v>
                </c:pt>
                <c:pt idx="3">
                  <c:v>0.948</c:v>
                </c:pt>
              </c:numCache>
            </c:numRef>
          </c:val>
        </c:ser>
        <c:ser>
          <c:idx val="1"/>
          <c:order val="1"/>
          <c:tx>
            <c:strRef>
              <c:f>Sheet1!$C$1</c:f>
              <c:strCache>
                <c:ptCount val="1"/>
                <c:pt idx="0">
                  <c:v>淡点污棉占比</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Sheet1!$C$2:$C$5</c:f>
              <c:numCache>
                <c:formatCode>0.0%</c:formatCode>
                <c:ptCount val="4"/>
                <c:pt idx="0">
                  <c:v>0.203510344530142</c:v>
                </c:pt>
                <c:pt idx="1">
                  <c:v>0.1032</c:v>
                </c:pt>
                <c:pt idx="2">
                  <c:v>0.0359</c:v>
                </c:pt>
                <c:pt idx="3">
                  <c:v>0.043</c:v>
                </c:pt>
              </c:numCache>
            </c:numRef>
          </c:val>
        </c:ser>
        <c:ser>
          <c:idx val="2"/>
          <c:order val="2"/>
          <c:tx>
            <c:strRef>
              <c:f>Sheet1!$D$1</c:f>
              <c:strCache>
                <c:ptCount val="1"/>
                <c:pt idx="0">
                  <c:v>淡黄染棉占比</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Sheet1!$D$2:$D$5</c:f>
              <c:numCache>
                <c:formatCode>0.0%</c:formatCode>
                <c:ptCount val="4"/>
                <c:pt idx="0">
                  <c:v>0.00474965625775867</c:v>
                </c:pt>
                <c:pt idx="1">
                  <c:v>0.0073</c:v>
                </c:pt>
                <c:pt idx="2">
                  <c:v>0.0045</c:v>
                </c:pt>
                <c:pt idx="3">
                  <c:v>0.01</c:v>
                </c:pt>
              </c:numCache>
            </c:numRef>
          </c:val>
        </c:ser>
        <c:ser>
          <c:idx val="3"/>
          <c:order val="3"/>
          <c:tx>
            <c:strRef>
              <c:f>Sheet1!$E$1</c:f>
              <c:strCache>
                <c:ptCount val="1"/>
                <c:pt idx="0">
                  <c:v>黄染棉占比</c:v>
                </c:pt>
              </c:strCache>
            </c:strRef>
          </c:tx>
          <c:invertIfNegative val="0"/>
          <c:dLbls>
            <c:delete val="1"/>
          </c:dLbls>
          <c:cat>
            <c:strRef>
              <c:f>Sheet1!$A$2:$A$5</c:f>
              <c:strCache>
                <c:ptCount val="4"/>
                <c:pt idx="0">
                  <c:v>2013/2014年度</c:v>
                </c:pt>
                <c:pt idx="1">
                  <c:v>2014/2015年度</c:v>
                </c:pt>
                <c:pt idx="2">
                  <c:v>2015/2016年度</c:v>
                </c:pt>
                <c:pt idx="3">
                  <c:v>2016/2017年度</c:v>
                </c:pt>
              </c:strCache>
            </c:strRef>
          </c:cat>
          <c:val>
            <c:numRef>
              <c:f>Sheet1!$E$2:$E$5</c:f>
              <c:numCache>
                <c:formatCode>0.0%</c:formatCode>
                <c:ptCount val="4"/>
                <c:pt idx="0">
                  <c:v>0.000127919038849585</c:v>
                </c:pt>
                <c:pt idx="1">
                  <c:v>0.0001</c:v>
                </c:pt>
                <c:pt idx="2">
                  <c:v>0.0004</c:v>
                </c:pt>
                <c:pt idx="3">
                  <c:v>0.001</c:v>
                </c:pt>
              </c:numCache>
            </c:numRef>
          </c:val>
        </c:ser>
        <c:dLbls>
          <c:showLegendKey val="0"/>
          <c:showVal val="1"/>
          <c:showCatName val="0"/>
          <c:showSerName val="0"/>
          <c:showPercent val="0"/>
          <c:showBubbleSize val="0"/>
        </c:dLbls>
        <c:gapWidth val="95"/>
        <c:overlap val="100"/>
        <c:axId val="190090240"/>
        <c:axId val="190104320"/>
      </c:barChart>
      <c:lineChart>
        <c:grouping val="standard"/>
        <c:varyColors val="0"/>
        <c:ser>
          <c:idx val="4"/>
          <c:order val="4"/>
          <c:tx>
            <c:strRef>
              <c:f>Sheet1!$F$1</c:f>
              <c:strCache>
                <c:ptCount val="1"/>
                <c:pt idx="0">
                  <c:v>白棉平均级</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2013/2014年度</c:v>
                </c:pt>
                <c:pt idx="1">
                  <c:v>2014/2015年度</c:v>
                </c:pt>
                <c:pt idx="2">
                  <c:v>2015/2016年度</c:v>
                </c:pt>
                <c:pt idx="3">
                  <c:v>2016/2017年度</c:v>
                </c:pt>
              </c:strCache>
            </c:strRef>
          </c:cat>
          <c:val>
            <c:numRef>
              <c:f>Sheet1!$F$2:$F$5</c:f>
              <c:numCache>
                <c:formatCode>0.00_ </c:formatCode>
                <c:ptCount val="4"/>
                <c:pt idx="0">
                  <c:v>2.35</c:v>
                </c:pt>
                <c:pt idx="1">
                  <c:v>2.6</c:v>
                </c:pt>
                <c:pt idx="2" c:formatCode="General">
                  <c:v>2.63</c:v>
                </c:pt>
                <c:pt idx="3" c:formatCode="General">
                  <c:v>2.84</c:v>
                </c:pt>
              </c:numCache>
            </c:numRef>
          </c:val>
          <c:smooth val="0"/>
        </c:ser>
        <c:ser>
          <c:idx val="5"/>
          <c:order val="5"/>
          <c:tx>
            <c:strRef>
              <c:f>Sheet1!$G$1</c:f>
              <c:strCache>
                <c:ptCount val="1"/>
                <c:pt idx="0">
                  <c:v>淡点污棉平均级</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2013/2014年度</c:v>
                </c:pt>
                <c:pt idx="1">
                  <c:v>2014/2015年度</c:v>
                </c:pt>
                <c:pt idx="2">
                  <c:v>2015/2016年度</c:v>
                </c:pt>
                <c:pt idx="3">
                  <c:v>2016/2017年度</c:v>
                </c:pt>
              </c:strCache>
            </c:strRef>
          </c:cat>
          <c:val>
            <c:numRef>
              <c:f>Sheet1!$G$2:$G$5</c:f>
              <c:numCache>
                <c:formatCode>0.00_ </c:formatCode>
                <c:ptCount val="4"/>
                <c:pt idx="0">
                  <c:v>1.8</c:v>
                </c:pt>
                <c:pt idx="1">
                  <c:v>1.62</c:v>
                </c:pt>
                <c:pt idx="2" c:formatCode="General">
                  <c:v>1.74</c:v>
                </c:pt>
                <c:pt idx="3" c:formatCode="General">
                  <c:v>1.89</c:v>
                </c:pt>
              </c:numCache>
            </c:numRef>
          </c:val>
          <c:smooth val="0"/>
        </c:ser>
        <c:ser>
          <c:idx val="6"/>
          <c:order val="6"/>
          <c:tx>
            <c:strRef>
              <c:f>Sheet1!$H$1</c:f>
              <c:strCache>
                <c:ptCount val="1"/>
                <c:pt idx="0">
                  <c:v>淡黄染棉平均级</c:v>
                </c:pt>
              </c:strCache>
            </c:strRef>
          </c:tx>
          <c:dLbls>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2013/2014年度</c:v>
                </c:pt>
                <c:pt idx="1">
                  <c:v>2014/2015年度</c:v>
                </c:pt>
                <c:pt idx="2">
                  <c:v>2015/2016年度</c:v>
                </c:pt>
                <c:pt idx="3">
                  <c:v>2016/2017年度</c:v>
                </c:pt>
              </c:strCache>
            </c:strRef>
          </c:cat>
          <c:val>
            <c:numRef>
              <c:f>Sheet1!$H$2:$H$5</c:f>
              <c:numCache>
                <c:formatCode>0.00_ </c:formatCode>
                <c:ptCount val="4"/>
                <c:pt idx="0">
                  <c:v>1.98</c:v>
                </c:pt>
                <c:pt idx="1">
                  <c:v>1.54</c:v>
                </c:pt>
                <c:pt idx="2" c:formatCode="General">
                  <c:v>2.07</c:v>
                </c:pt>
                <c:pt idx="3" c:formatCode="General">
                  <c:v>2.33</c:v>
                </c:pt>
              </c:numCache>
            </c:numRef>
          </c:val>
          <c:smooth val="0"/>
        </c:ser>
        <c:ser>
          <c:idx val="7"/>
          <c:order val="7"/>
          <c:tx>
            <c:strRef>
              <c:f>Sheet1!$I$1</c:f>
              <c:strCache>
                <c:ptCount val="1"/>
                <c:pt idx="0">
                  <c:v>黄染棉平均级</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2013/2014年度</c:v>
                </c:pt>
                <c:pt idx="1">
                  <c:v>2014/2015年度</c:v>
                </c:pt>
                <c:pt idx="2">
                  <c:v>2015/2016年度</c:v>
                </c:pt>
                <c:pt idx="3">
                  <c:v>2016/2017年度</c:v>
                </c:pt>
              </c:strCache>
            </c:strRef>
          </c:cat>
          <c:val>
            <c:numRef>
              <c:f>Sheet1!$I$2:$I$5</c:f>
              <c:numCache>
                <c:formatCode>0.00_ </c:formatCode>
                <c:ptCount val="4"/>
                <c:pt idx="0">
                  <c:v>1.9</c:v>
                </c:pt>
                <c:pt idx="1">
                  <c:v>1.9</c:v>
                </c:pt>
                <c:pt idx="2" c:formatCode="General">
                  <c:v>1.97</c:v>
                </c:pt>
                <c:pt idx="3" c:formatCode="General">
                  <c:v>1.99</c:v>
                </c:pt>
              </c:numCache>
            </c:numRef>
          </c:val>
          <c:smooth val="0"/>
        </c:ser>
        <c:dLbls>
          <c:showLegendKey val="0"/>
          <c:showVal val="1"/>
          <c:showCatName val="0"/>
          <c:showSerName val="0"/>
          <c:showPercent val="0"/>
          <c:showBubbleSize val="0"/>
        </c:dLbls>
        <c:marker val="1"/>
        <c:smooth val="0"/>
        <c:axId val="190105856"/>
        <c:axId val="190107648"/>
      </c:lineChart>
      <c:catAx>
        <c:axId val="1900902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04320"/>
        <c:crosses val="autoZero"/>
        <c:auto val="1"/>
        <c:lblAlgn val="ctr"/>
        <c:lblOffset val="100"/>
        <c:noMultiLvlLbl val="0"/>
      </c:catAx>
      <c:valAx>
        <c:axId val="190104320"/>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090240"/>
        <c:crosses val="autoZero"/>
        <c:crossBetween val="between"/>
      </c:valAx>
      <c:catAx>
        <c:axId val="19010585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07648"/>
        <c:crosses val="autoZero"/>
        <c:auto val="1"/>
        <c:lblAlgn val="ctr"/>
        <c:lblOffset val="100"/>
        <c:noMultiLvlLbl val="0"/>
      </c:catAx>
      <c:valAx>
        <c:axId val="190107648"/>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05856"/>
        <c:crosses val="max"/>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3-4 2016/2017</a:t>
            </a:r>
            <a:r>
              <a:rPr lang="zh-CN" altLang="zh-CN" sz="1100" b="1" i="0" u="none" strike="noStrike" baseline="0">
                <a:effectLst/>
                <a:latin typeface="+mn-ea"/>
                <a:ea typeface="+mn-ea"/>
              </a:rPr>
              <a:t>年度各产棉省份轧工质量占比分布图</a:t>
            </a:r>
            <a:endParaRPr lang="zh-CN" altLang="en-US" sz="1100">
              <a:latin typeface="+mn-ea"/>
              <a:ea typeface="+mn-ea"/>
            </a:endParaRPr>
          </a:p>
        </c:rich>
      </c:tx>
      <c:layout>
        <c:manualLayout>
          <c:xMode val="edge"/>
          <c:yMode val="edge"/>
          <c:x val="0.252180125130578"/>
          <c:y val="0.91609977324263"/>
        </c:manualLayout>
      </c:layout>
      <c:overlay val="0"/>
    </c:title>
    <c:autoTitleDeleted val="0"/>
    <c:plotArea>
      <c:layout>
        <c:manualLayout>
          <c:layoutTarget val="inner"/>
          <c:xMode val="edge"/>
          <c:yMode val="edge"/>
          <c:x val="0.149371014785777"/>
          <c:y val="0.0486848667726058"/>
          <c:w val="0.830140369401043"/>
          <c:h val="0.655932056112034"/>
        </c:manualLayout>
      </c:layout>
      <c:barChart>
        <c:barDir val="col"/>
        <c:grouping val="percentStacked"/>
        <c:varyColors val="0"/>
        <c:ser>
          <c:idx val="0"/>
          <c:order val="0"/>
          <c:tx>
            <c:strRef>
              <c:f>Sheet1!$B$1</c:f>
              <c:strCache>
                <c:ptCount val="1"/>
                <c:pt idx="0">
                  <c:v>好（P1)占比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c:formatCode>
                <c:ptCount val="10"/>
                <c:pt idx="0">
                  <c:v>0.0623</c:v>
                </c:pt>
                <c:pt idx="1">
                  <c:v>0</c:v>
                </c:pt>
                <c:pt idx="2">
                  <c:v>0</c:v>
                </c:pt>
                <c:pt idx="3">
                  <c:v>0</c:v>
                </c:pt>
                <c:pt idx="4">
                  <c:v>0</c:v>
                </c:pt>
                <c:pt idx="5">
                  <c:v>0.0012</c:v>
                </c:pt>
                <c:pt idx="6">
                  <c:v>0</c:v>
                </c:pt>
                <c:pt idx="7">
                  <c:v>0</c:v>
                </c:pt>
                <c:pt idx="8">
                  <c:v>0</c:v>
                </c:pt>
                <c:pt idx="9">
                  <c:v>0.0653</c:v>
                </c:pt>
              </c:numCache>
            </c:numRef>
          </c:val>
        </c:ser>
        <c:ser>
          <c:idx val="1"/>
          <c:order val="1"/>
          <c:tx>
            <c:strRef>
              <c:f>Sheet1!$C$1</c:f>
              <c:strCache>
                <c:ptCount val="1"/>
                <c:pt idx="0">
                  <c:v>中（P2）占比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c:formatCode>
                <c:ptCount val="10"/>
                <c:pt idx="0">
                  <c:v>0.9106</c:v>
                </c:pt>
                <c:pt idx="1">
                  <c:v>0.9368</c:v>
                </c:pt>
                <c:pt idx="2">
                  <c:v>0.996</c:v>
                </c:pt>
                <c:pt idx="3">
                  <c:v>0.9998</c:v>
                </c:pt>
                <c:pt idx="4">
                  <c:v>1</c:v>
                </c:pt>
                <c:pt idx="5">
                  <c:v>0.9974</c:v>
                </c:pt>
                <c:pt idx="6">
                  <c:v>0.9923</c:v>
                </c:pt>
                <c:pt idx="7">
                  <c:v>1</c:v>
                </c:pt>
                <c:pt idx="8">
                  <c:v>0.9999</c:v>
                </c:pt>
                <c:pt idx="9">
                  <c:v>0.9064</c:v>
                </c:pt>
              </c:numCache>
            </c:numRef>
          </c:val>
        </c:ser>
        <c:ser>
          <c:idx val="2"/>
          <c:order val="2"/>
          <c:tx>
            <c:strRef>
              <c:f>Sheet1!$D$1</c:f>
              <c:strCache>
                <c:ptCount val="1"/>
                <c:pt idx="0">
                  <c:v>差（P3）占比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c:formatCode>
                <c:ptCount val="10"/>
                <c:pt idx="0">
                  <c:v>0.0271</c:v>
                </c:pt>
                <c:pt idx="1">
                  <c:v>0.0632</c:v>
                </c:pt>
                <c:pt idx="2">
                  <c:v>0.004</c:v>
                </c:pt>
                <c:pt idx="3">
                  <c:v>0.0001</c:v>
                </c:pt>
                <c:pt idx="4">
                  <c:v>0</c:v>
                </c:pt>
                <c:pt idx="5">
                  <c:v>0.0015</c:v>
                </c:pt>
                <c:pt idx="6">
                  <c:v>0.0077</c:v>
                </c:pt>
                <c:pt idx="7">
                  <c:v>0</c:v>
                </c:pt>
                <c:pt idx="8">
                  <c:v>0.0001</c:v>
                </c:pt>
                <c:pt idx="9">
                  <c:v>0.0283</c:v>
                </c:pt>
              </c:numCache>
            </c:numRef>
          </c:val>
        </c:ser>
        <c:dLbls>
          <c:showLegendKey val="0"/>
          <c:showVal val="0"/>
          <c:showCatName val="0"/>
          <c:showSerName val="0"/>
          <c:showPercent val="0"/>
          <c:showBubbleSize val="0"/>
        </c:dLbls>
        <c:gapWidth val="95"/>
        <c:overlap val="100"/>
        <c:axId val="190192256"/>
        <c:axId val="190202240"/>
      </c:barChart>
      <c:catAx>
        <c:axId val="1901922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202240"/>
        <c:crosses val="autoZero"/>
        <c:auto val="1"/>
        <c:lblAlgn val="ctr"/>
        <c:lblOffset val="100"/>
        <c:noMultiLvlLbl val="0"/>
      </c:catAx>
      <c:valAx>
        <c:axId val="190202240"/>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192256"/>
        <c:crosses val="autoZero"/>
        <c:crossBetween val="between"/>
      </c:valAx>
      <c:dTable>
        <c:showHorzBorder val="1"/>
        <c:showVertBorder val="1"/>
        <c:showOutline val="1"/>
        <c:showKeys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3-5 2016/2017</a:t>
            </a:r>
            <a:r>
              <a:rPr lang="zh-CN" altLang="zh-CN" sz="1100" b="1" i="0" u="none" strike="noStrike" baseline="0">
                <a:effectLst/>
                <a:latin typeface="+mn-ea"/>
                <a:ea typeface="+mn-ea"/>
              </a:rPr>
              <a:t>年度全国各产棉省份棉花长度级对比图</a:t>
            </a:r>
            <a:endParaRPr lang="zh-CN" altLang="en-US" sz="1100">
              <a:latin typeface="+mn-ea"/>
              <a:ea typeface="+mn-ea"/>
            </a:endParaRPr>
          </a:p>
        </c:rich>
      </c:tx>
      <c:layout>
        <c:manualLayout>
          <c:xMode val="edge"/>
          <c:yMode val="edge"/>
          <c:x val="0.180798702245553"/>
          <c:y val="0.938186019641826"/>
        </c:manualLayout>
      </c:layout>
      <c:overlay val="0"/>
    </c:title>
    <c:autoTitleDeleted val="0"/>
    <c:plotArea>
      <c:layout>
        <c:manualLayout>
          <c:layoutTarget val="inner"/>
          <c:xMode val="edge"/>
          <c:yMode val="edge"/>
          <c:x val="0.185149278215223"/>
          <c:y val="0.0312016630503509"/>
          <c:w val="0.787072944006999"/>
          <c:h val="0.627555507034758"/>
        </c:manualLayout>
      </c:layout>
      <c:barChart>
        <c:barDir val="col"/>
        <c:grouping val="clustered"/>
        <c:varyColors val="0"/>
        <c:ser>
          <c:idx val="0"/>
          <c:order val="0"/>
          <c:tx>
            <c:strRef>
              <c:f>Sheet1!$B$1</c:f>
              <c:strCache>
                <c:ptCount val="1"/>
                <c:pt idx="0">
                  <c:v>逐包检验
平均长度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0.00_);[Red]\(0.00\)</c:formatCode>
                <c:ptCount val="10"/>
                <c:pt idx="0">
                  <c:v>29.02</c:v>
                </c:pt>
                <c:pt idx="1">
                  <c:v>28.52</c:v>
                </c:pt>
                <c:pt idx="2">
                  <c:v>28.58</c:v>
                </c:pt>
                <c:pt idx="3">
                  <c:v>28.49</c:v>
                </c:pt>
                <c:pt idx="4">
                  <c:v>28.3</c:v>
                </c:pt>
                <c:pt idx="5">
                  <c:v>28.26</c:v>
                </c:pt>
                <c:pt idx="6">
                  <c:v>28.7</c:v>
                </c:pt>
                <c:pt idx="7">
                  <c:v>28.68</c:v>
                </c:pt>
                <c:pt idx="8">
                  <c:v>28.63</c:v>
                </c:pt>
                <c:pt idx="9">
                  <c:v>29.05</c:v>
                </c:pt>
              </c:numCache>
            </c:numRef>
          </c:val>
        </c:ser>
        <c:ser>
          <c:idx val="1"/>
          <c:order val="1"/>
          <c:tx>
            <c:strRef>
              <c:f>Sheet1!$C$1</c:f>
              <c:strCache>
                <c:ptCount val="1"/>
                <c:pt idx="0">
                  <c:v>长度级加
权平均值</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0.00_);[Red]\(0.00\)</c:formatCode>
                <c:ptCount val="10"/>
                <c:pt idx="0">
                  <c:v>28.5757465362549</c:v>
                </c:pt>
                <c:pt idx="1">
                  <c:v>28.0605239868164</c:v>
                </c:pt>
                <c:pt idx="2">
                  <c:v>28.1304550170898</c:v>
                </c:pt>
                <c:pt idx="3">
                  <c:v>28.0505790710449</c:v>
                </c:pt>
                <c:pt idx="4">
                  <c:v>27.8524799346924</c:v>
                </c:pt>
                <c:pt idx="5">
                  <c:v>27.8198146820068</c:v>
                </c:pt>
                <c:pt idx="6">
                  <c:v>28.2595043182373</c:v>
                </c:pt>
                <c:pt idx="7">
                  <c:v>28.2303066253662</c:v>
                </c:pt>
                <c:pt idx="8">
                  <c:v>28.1866340637207</c:v>
                </c:pt>
                <c:pt idx="9">
                  <c:v>28.6060047149658</c:v>
                </c:pt>
              </c:numCache>
            </c:numRef>
          </c:val>
        </c:ser>
        <c:ser>
          <c:idx val="2"/>
          <c:order val="2"/>
          <c:tx>
            <c:strRef>
              <c:f>Sheet1!$D$1</c:f>
              <c:strCache>
                <c:ptCount val="1"/>
                <c:pt idx="0">
                  <c:v>最大长度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0.00_);[Red]\(0.00\)</c:formatCode>
                <c:ptCount val="10"/>
                <c:pt idx="0">
                  <c:v>38.3</c:v>
                </c:pt>
                <c:pt idx="1">
                  <c:v>29.7</c:v>
                </c:pt>
                <c:pt idx="2">
                  <c:v>31.2</c:v>
                </c:pt>
                <c:pt idx="3">
                  <c:v>32</c:v>
                </c:pt>
                <c:pt idx="4">
                  <c:v>30.7</c:v>
                </c:pt>
                <c:pt idx="5">
                  <c:v>33.7</c:v>
                </c:pt>
                <c:pt idx="6">
                  <c:v>31.4</c:v>
                </c:pt>
                <c:pt idx="7">
                  <c:v>31</c:v>
                </c:pt>
                <c:pt idx="8">
                  <c:v>31.8</c:v>
                </c:pt>
                <c:pt idx="9">
                  <c:v>38.3</c:v>
                </c:pt>
              </c:numCache>
            </c:numRef>
          </c:val>
        </c:ser>
        <c:ser>
          <c:idx val="3"/>
          <c:order val="3"/>
          <c:tx>
            <c:strRef>
              <c:f>Sheet1!$E$1</c:f>
              <c:strCache>
                <c:ptCount val="1"/>
                <c:pt idx="0">
                  <c:v>最小长度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Sheet1!$E$2:$E$11</c:f>
              <c:numCache>
                <c:formatCode>0.00_);[Red]\(0.00\)</c:formatCode>
                <c:ptCount val="10"/>
                <c:pt idx="0">
                  <c:v>22.8</c:v>
                </c:pt>
                <c:pt idx="1">
                  <c:v>26.2</c:v>
                </c:pt>
                <c:pt idx="2">
                  <c:v>24.1</c:v>
                </c:pt>
                <c:pt idx="3">
                  <c:v>24.8</c:v>
                </c:pt>
                <c:pt idx="4">
                  <c:v>24.8</c:v>
                </c:pt>
                <c:pt idx="5">
                  <c:v>24.3</c:v>
                </c:pt>
                <c:pt idx="6">
                  <c:v>25.9</c:v>
                </c:pt>
                <c:pt idx="7">
                  <c:v>26.5</c:v>
                </c:pt>
                <c:pt idx="8">
                  <c:v>26.2</c:v>
                </c:pt>
                <c:pt idx="9">
                  <c:v>22.8</c:v>
                </c:pt>
              </c:numCache>
            </c:numRef>
          </c:val>
        </c:ser>
        <c:dLbls>
          <c:showLegendKey val="0"/>
          <c:showVal val="0"/>
          <c:showCatName val="0"/>
          <c:showSerName val="0"/>
          <c:showPercent val="0"/>
          <c:showBubbleSize val="0"/>
        </c:dLbls>
        <c:gapWidth val="150"/>
        <c:axId val="190263296"/>
        <c:axId val="190264832"/>
      </c:barChart>
      <c:catAx>
        <c:axId val="1902632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264832"/>
        <c:crosses val="autoZero"/>
        <c:auto val="1"/>
        <c:lblAlgn val="ctr"/>
        <c:lblOffset val="100"/>
        <c:noMultiLvlLbl val="0"/>
      </c:catAx>
      <c:valAx>
        <c:axId val="19026483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单位：毫米</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26329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3-6 2016/2017</a:t>
            </a:r>
            <a:r>
              <a:rPr lang="zh-CN" altLang="zh-CN" sz="1100" b="1" i="0" u="none" strike="noStrike" baseline="0">
                <a:effectLst/>
                <a:latin typeface="+mn-ea"/>
                <a:ea typeface="+mn-ea"/>
              </a:rPr>
              <a:t>年度各产棉省份逐包检验棉花长度级占比分布图</a:t>
            </a:r>
            <a:endParaRPr lang="zh-CN" altLang="en-US" sz="1100">
              <a:latin typeface="+mn-ea"/>
              <a:ea typeface="+mn-ea"/>
            </a:endParaRPr>
          </a:p>
        </c:rich>
      </c:tx>
      <c:layout>
        <c:manualLayout>
          <c:xMode val="edge"/>
          <c:yMode val="edge"/>
          <c:x val="0.196734969532317"/>
          <c:y val="0.939031339031339"/>
        </c:manualLayout>
      </c:layout>
      <c:overlay val="0"/>
    </c:title>
    <c:autoTitleDeleted val="0"/>
    <c:plotArea>
      <c:layout>
        <c:manualLayout>
          <c:layoutTarget val="inner"/>
          <c:xMode val="edge"/>
          <c:yMode val="edge"/>
          <c:x val="0.167883992571104"/>
          <c:y val="0.0253048881710299"/>
          <c:w val="0.820420100996147"/>
          <c:h val="0.513775989268947"/>
        </c:manualLayout>
      </c:layout>
      <c:barChart>
        <c:barDir val="col"/>
        <c:grouping val="percentStacked"/>
        <c:varyColors val="0"/>
        <c:ser>
          <c:idx val="0"/>
          <c:order val="0"/>
          <c:tx>
            <c:strRef>
              <c:f>Sheet1!$B$1</c:f>
              <c:strCache>
                <c:ptCount val="1"/>
                <c:pt idx="0">
                  <c:v>32毫米占比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c:formatCode>
                <c:ptCount val="10"/>
                <c:pt idx="0">
                  <c:v>0.0012</c:v>
                </c:pt>
                <c:pt idx="1">
                  <c:v>0</c:v>
                </c:pt>
                <c:pt idx="2">
                  <c:v>0</c:v>
                </c:pt>
                <c:pt idx="3">
                  <c:v>0</c:v>
                </c:pt>
                <c:pt idx="4">
                  <c:v>0</c:v>
                </c:pt>
                <c:pt idx="5">
                  <c:v>0</c:v>
                </c:pt>
                <c:pt idx="6">
                  <c:v>0</c:v>
                </c:pt>
                <c:pt idx="7">
                  <c:v>0</c:v>
                </c:pt>
                <c:pt idx="8">
                  <c:v>0</c:v>
                </c:pt>
                <c:pt idx="9">
                  <c:v>0.0013</c:v>
                </c:pt>
              </c:numCache>
            </c:numRef>
          </c:val>
        </c:ser>
        <c:ser>
          <c:idx val="1"/>
          <c:order val="1"/>
          <c:tx>
            <c:strRef>
              <c:f>Sheet1!$C$1</c:f>
              <c:strCache>
                <c:ptCount val="1"/>
                <c:pt idx="0">
                  <c:v>31毫米占比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c:formatCode>
                <c:ptCount val="10"/>
                <c:pt idx="0">
                  <c:v>0.0067</c:v>
                </c:pt>
                <c:pt idx="1">
                  <c:v>0</c:v>
                </c:pt>
                <c:pt idx="2">
                  <c:v>0</c:v>
                </c:pt>
                <c:pt idx="3">
                  <c:v>0.003</c:v>
                </c:pt>
                <c:pt idx="4">
                  <c:v>0</c:v>
                </c:pt>
                <c:pt idx="5">
                  <c:v>0.0001</c:v>
                </c:pt>
                <c:pt idx="6">
                  <c:v>0.0005</c:v>
                </c:pt>
                <c:pt idx="7">
                  <c:v>0.0001</c:v>
                </c:pt>
                <c:pt idx="8">
                  <c:v>0.0003</c:v>
                </c:pt>
                <c:pt idx="9">
                  <c:v>0.007</c:v>
                </c:pt>
              </c:numCache>
            </c:numRef>
          </c:val>
        </c:ser>
        <c:ser>
          <c:idx val="2"/>
          <c:order val="2"/>
          <c:tx>
            <c:strRef>
              <c:f>Sheet1!$D$1</c:f>
              <c:strCache>
                <c:ptCount val="1"/>
                <c:pt idx="0">
                  <c:v>30毫米占比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c:formatCode>
                <c:ptCount val="10"/>
                <c:pt idx="0">
                  <c:v>0.1032</c:v>
                </c:pt>
                <c:pt idx="1">
                  <c:v>0</c:v>
                </c:pt>
                <c:pt idx="2">
                  <c:v>0.0169</c:v>
                </c:pt>
                <c:pt idx="3">
                  <c:v>0.0556</c:v>
                </c:pt>
                <c:pt idx="4">
                  <c:v>0.0047</c:v>
                </c:pt>
                <c:pt idx="5">
                  <c:v>0.0174</c:v>
                </c:pt>
                <c:pt idx="6">
                  <c:v>0.0257</c:v>
                </c:pt>
                <c:pt idx="7">
                  <c:v>0.0122</c:v>
                </c:pt>
                <c:pt idx="8">
                  <c:v>0.0235</c:v>
                </c:pt>
                <c:pt idx="9">
                  <c:v>0.1073</c:v>
                </c:pt>
              </c:numCache>
            </c:numRef>
          </c:val>
        </c:ser>
        <c:ser>
          <c:idx val="3"/>
          <c:order val="3"/>
          <c:tx>
            <c:strRef>
              <c:f>Sheet1!$E$1</c:f>
              <c:strCache>
                <c:ptCount val="1"/>
                <c:pt idx="0">
                  <c:v>29毫米占比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Sheet1!$E$2:$E$11</c:f>
              <c:numCache>
                <c:formatCode>0.00%</c:formatCode>
                <c:ptCount val="10"/>
                <c:pt idx="0">
                  <c:v>0.4233</c:v>
                </c:pt>
                <c:pt idx="1">
                  <c:v>0.1682</c:v>
                </c:pt>
                <c:pt idx="2">
                  <c:v>0.2895</c:v>
                </c:pt>
                <c:pt idx="3">
                  <c:v>0.2494</c:v>
                </c:pt>
                <c:pt idx="4">
                  <c:v>0.1605</c:v>
                </c:pt>
                <c:pt idx="5">
                  <c:v>0.204</c:v>
                </c:pt>
                <c:pt idx="6">
                  <c:v>0.3475</c:v>
                </c:pt>
                <c:pt idx="7">
                  <c:v>0.3156</c:v>
                </c:pt>
                <c:pt idx="8">
                  <c:v>0.281</c:v>
                </c:pt>
                <c:pt idx="9">
                  <c:v>0.4322</c:v>
                </c:pt>
              </c:numCache>
            </c:numRef>
          </c:val>
        </c:ser>
        <c:ser>
          <c:idx val="4"/>
          <c:order val="4"/>
          <c:tx>
            <c:strRef>
              <c:f>Sheet1!$F$1</c:f>
              <c:strCache>
                <c:ptCount val="1"/>
                <c:pt idx="0">
                  <c:v>28毫米占比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Sheet1!$F$2:$F$11</c:f>
              <c:numCache>
                <c:formatCode>0.00%</c:formatCode>
                <c:ptCount val="10"/>
                <c:pt idx="0">
                  <c:v>0.3902</c:v>
                </c:pt>
                <c:pt idx="1">
                  <c:v>0.7252</c:v>
                </c:pt>
                <c:pt idx="2">
                  <c:v>0.511</c:v>
                </c:pt>
                <c:pt idx="3">
                  <c:v>0.4302</c:v>
                </c:pt>
                <c:pt idx="4">
                  <c:v>0.5551</c:v>
                </c:pt>
                <c:pt idx="5">
                  <c:v>0.4136</c:v>
                </c:pt>
                <c:pt idx="6">
                  <c:v>0.4915</c:v>
                </c:pt>
                <c:pt idx="7">
                  <c:v>0.5635</c:v>
                </c:pt>
                <c:pt idx="8">
                  <c:v>0.5558</c:v>
                </c:pt>
                <c:pt idx="9">
                  <c:v>0.387</c:v>
                </c:pt>
              </c:numCache>
            </c:numRef>
          </c:val>
        </c:ser>
        <c:ser>
          <c:idx val="5"/>
          <c:order val="5"/>
          <c:tx>
            <c:strRef>
              <c:f>Sheet1!$G$1</c:f>
              <c:strCache>
                <c:ptCount val="1"/>
                <c:pt idx="0">
                  <c:v>27毫米占比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Sheet1!$G$2:$G$11</c:f>
              <c:numCache>
                <c:formatCode>0.00%</c:formatCode>
                <c:ptCount val="10"/>
                <c:pt idx="0">
                  <c:v>0.0723</c:v>
                </c:pt>
                <c:pt idx="1">
                  <c:v>0.1055</c:v>
                </c:pt>
                <c:pt idx="2">
                  <c:v>0.1725</c:v>
                </c:pt>
                <c:pt idx="3">
                  <c:v>0.2107</c:v>
                </c:pt>
                <c:pt idx="4">
                  <c:v>0.2467</c:v>
                </c:pt>
                <c:pt idx="5">
                  <c:v>0.3115</c:v>
                </c:pt>
                <c:pt idx="6">
                  <c:v>0.1285</c:v>
                </c:pt>
                <c:pt idx="7">
                  <c:v>0.1073</c:v>
                </c:pt>
                <c:pt idx="8">
                  <c:v>0.1367</c:v>
                </c:pt>
                <c:pt idx="9">
                  <c:v>0.0636</c:v>
                </c:pt>
              </c:numCache>
            </c:numRef>
          </c:val>
        </c:ser>
        <c:ser>
          <c:idx val="6"/>
          <c:order val="6"/>
          <c:tx>
            <c:strRef>
              <c:f>Sheet1!$H$1</c:f>
              <c:strCache>
                <c:ptCount val="1"/>
                <c:pt idx="0">
                  <c:v>26毫米占比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Sheet1!$H$2:$H$11</c:f>
              <c:numCache>
                <c:formatCode>0.00%</c:formatCode>
                <c:ptCount val="10"/>
                <c:pt idx="0">
                  <c:v>0.0031</c:v>
                </c:pt>
                <c:pt idx="1">
                  <c:v>0.0011</c:v>
                </c:pt>
                <c:pt idx="2">
                  <c:v>0.0099</c:v>
                </c:pt>
                <c:pt idx="3">
                  <c:v>0.0443</c:v>
                </c:pt>
                <c:pt idx="4">
                  <c:v>0.0282</c:v>
                </c:pt>
                <c:pt idx="5">
                  <c:v>0.0522</c:v>
                </c:pt>
                <c:pt idx="6">
                  <c:v>0.0062</c:v>
                </c:pt>
                <c:pt idx="7">
                  <c:v>0.0014</c:v>
                </c:pt>
                <c:pt idx="8">
                  <c:v>0.0028</c:v>
                </c:pt>
                <c:pt idx="9">
                  <c:v>0.0015</c:v>
                </c:pt>
              </c:numCache>
            </c:numRef>
          </c:val>
        </c:ser>
        <c:ser>
          <c:idx val="7"/>
          <c:order val="7"/>
          <c:tx>
            <c:strRef>
              <c:f>Sheet1!$I$1</c:f>
              <c:strCache>
                <c:ptCount val="1"/>
                <c:pt idx="0">
                  <c:v>25毫米占比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Sheet1!$I$2:$I$11</c:f>
              <c:numCache>
                <c:formatCode>0.00%</c:formatCode>
                <c:ptCount val="10"/>
                <c:pt idx="0">
                  <c:v>0.0001</c:v>
                </c:pt>
                <c:pt idx="1">
                  <c:v>0</c:v>
                </c:pt>
                <c:pt idx="2">
                  <c:v>0.0002</c:v>
                </c:pt>
                <c:pt idx="3">
                  <c:v>0.0066</c:v>
                </c:pt>
                <c:pt idx="4">
                  <c:v>0.0048</c:v>
                </c:pt>
                <c:pt idx="5">
                  <c:v>0.0012</c:v>
                </c:pt>
                <c:pt idx="6">
                  <c:v>0</c:v>
                </c:pt>
                <c:pt idx="7">
                  <c:v>0</c:v>
                </c:pt>
                <c:pt idx="8">
                  <c:v>0</c:v>
                </c:pt>
                <c:pt idx="9">
                  <c:v>0.0001</c:v>
                </c:pt>
              </c:numCache>
            </c:numRef>
          </c:val>
        </c:ser>
        <c:dLbls>
          <c:showLegendKey val="0"/>
          <c:showVal val="0"/>
          <c:showCatName val="0"/>
          <c:showSerName val="0"/>
          <c:showPercent val="0"/>
          <c:showBubbleSize val="0"/>
        </c:dLbls>
        <c:gapWidth val="95"/>
        <c:overlap val="100"/>
        <c:axId val="190300928"/>
        <c:axId val="190302464"/>
      </c:barChart>
      <c:catAx>
        <c:axId val="1903009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02464"/>
        <c:crosses val="autoZero"/>
        <c:auto val="1"/>
        <c:lblAlgn val="ctr"/>
        <c:lblOffset val="100"/>
        <c:noMultiLvlLbl val="0"/>
      </c:catAx>
      <c:valAx>
        <c:axId val="19030246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0092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3-7 2012/2013</a:t>
            </a:r>
            <a:r>
              <a:rPr lang="zh-CN" altLang="zh-CN" sz="1100" b="1" i="0" u="none" strike="noStrike" baseline="0">
                <a:effectLst/>
                <a:latin typeface="+mn-ea"/>
                <a:ea typeface="+mn-ea"/>
              </a:rPr>
              <a:t>年度</a:t>
            </a:r>
            <a:r>
              <a:rPr lang="en-US" altLang="zh-CN" sz="1100" b="1" i="0" u="none" strike="noStrike" baseline="0">
                <a:effectLst/>
                <a:latin typeface="+mn-ea"/>
                <a:ea typeface="+mn-ea"/>
              </a:rPr>
              <a:t>-2016/2017</a:t>
            </a:r>
            <a:r>
              <a:rPr lang="zh-CN" altLang="zh-CN" sz="1100" b="1" i="0" u="none" strike="noStrike" baseline="0">
                <a:effectLst/>
                <a:latin typeface="+mn-ea"/>
                <a:ea typeface="+mn-ea"/>
              </a:rPr>
              <a:t>年度全国棉花长度变化情况图</a:t>
            </a:r>
            <a:endParaRPr lang="zh-CN" altLang="en-US" sz="1100">
              <a:latin typeface="+mn-ea"/>
              <a:ea typeface="+mn-ea"/>
            </a:endParaRPr>
          </a:p>
        </c:rich>
      </c:tx>
      <c:layout>
        <c:manualLayout>
          <c:xMode val="edge"/>
          <c:yMode val="edge"/>
          <c:x val="0.170787965553893"/>
          <c:y val="0.919598800149981"/>
        </c:manualLayout>
      </c:layout>
      <c:overlay val="1"/>
    </c:title>
    <c:autoTitleDeleted val="0"/>
    <c:plotArea>
      <c:layout>
        <c:manualLayout>
          <c:layoutTarget val="inner"/>
          <c:xMode val="edge"/>
          <c:yMode val="edge"/>
          <c:x val="0.084045899221275"/>
          <c:y val="0.0330432133483315"/>
          <c:w val="0.825946682284549"/>
          <c:h val="0.688645950506187"/>
        </c:manualLayout>
      </c:layout>
      <c:barChart>
        <c:barDir val="col"/>
        <c:grouping val="percentStacked"/>
        <c:varyColors val="0"/>
        <c:ser>
          <c:idx val="2"/>
          <c:order val="2"/>
          <c:tx>
            <c:strRef>
              <c:f>Sheet1!$D$1</c:f>
              <c:strCache>
                <c:ptCount val="1"/>
                <c:pt idx="0">
                  <c:v>25-27毫米</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0.00%</c:formatCode>
                <c:ptCount val="5"/>
                <c:pt idx="0">
                  <c:v>0.2446</c:v>
                </c:pt>
                <c:pt idx="1">
                  <c:v>0.2863</c:v>
                </c:pt>
                <c:pt idx="2">
                  <c:v>0.1355</c:v>
                </c:pt>
                <c:pt idx="3">
                  <c:v>0.263</c:v>
                </c:pt>
                <c:pt idx="4">
                  <c:v>0.0755</c:v>
                </c:pt>
              </c:numCache>
            </c:numRef>
          </c:val>
        </c:ser>
        <c:ser>
          <c:idx val="3"/>
          <c:order val="3"/>
          <c:tx>
            <c:strRef>
              <c:f>Sheet1!$E$1</c:f>
              <c:strCache>
                <c:ptCount val="1"/>
                <c:pt idx="0">
                  <c:v>28-29毫米</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Sheet1!$E$2:$E$6</c:f>
              <c:numCache>
                <c:formatCode>0.00%</c:formatCode>
                <c:ptCount val="5"/>
                <c:pt idx="0">
                  <c:v>0.7272</c:v>
                </c:pt>
                <c:pt idx="1">
                  <c:v>0.6969</c:v>
                </c:pt>
                <c:pt idx="2">
                  <c:v>0.8369</c:v>
                </c:pt>
                <c:pt idx="3">
                  <c:v>0.6905</c:v>
                </c:pt>
                <c:pt idx="4">
                  <c:v>0.8135</c:v>
                </c:pt>
              </c:numCache>
            </c:numRef>
          </c:val>
        </c:ser>
        <c:ser>
          <c:idx val="4"/>
          <c:order val="4"/>
          <c:tx>
            <c:strRef>
              <c:f>Sheet1!$F$1</c:f>
              <c:strCache>
                <c:ptCount val="1"/>
                <c:pt idx="0">
                  <c:v>30-32毫米</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Sheet1!$F$2:$F$6</c:f>
              <c:numCache>
                <c:formatCode>0.00%</c:formatCode>
                <c:ptCount val="5"/>
                <c:pt idx="0">
                  <c:v>0.0281</c:v>
                </c:pt>
                <c:pt idx="1">
                  <c:v>0.0168</c:v>
                </c:pt>
                <c:pt idx="2">
                  <c:v>0.0276</c:v>
                </c:pt>
                <c:pt idx="3">
                  <c:v>0.0464</c:v>
                </c:pt>
                <c:pt idx="4">
                  <c:v>0.1111</c:v>
                </c:pt>
              </c:numCache>
            </c:numRef>
          </c:val>
        </c:ser>
        <c:dLbls>
          <c:showLegendKey val="0"/>
          <c:showVal val="0"/>
          <c:showCatName val="0"/>
          <c:showSerName val="0"/>
          <c:showPercent val="0"/>
          <c:showBubbleSize val="0"/>
        </c:dLbls>
        <c:gapWidth val="150"/>
        <c:overlap val="100"/>
        <c:axId val="190366464"/>
        <c:axId val="190368000"/>
      </c:barChart>
      <c:lineChart>
        <c:grouping val="standard"/>
        <c:varyColors val="0"/>
        <c:ser>
          <c:idx val="0"/>
          <c:order val="0"/>
          <c:tx>
            <c:strRef>
              <c:f>Sheet1!$B$1</c:f>
              <c:strCache>
                <c:ptCount val="1"/>
                <c:pt idx="0">
                  <c:v>逐包检验平均长度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0.00_ </c:formatCode>
                <c:ptCount val="5"/>
                <c:pt idx="0">
                  <c:v>28.48</c:v>
                </c:pt>
                <c:pt idx="1">
                  <c:v>28.37</c:v>
                </c:pt>
                <c:pt idx="2">
                  <c:v>28.53</c:v>
                </c:pt>
                <c:pt idx="3">
                  <c:v>28.5</c:v>
                </c:pt>
                <c:pt idx="4" c:formatCode="General">
                  <c:v>29.02</c:v>
                </c:pt>
              </c:numCache>
            </c:numRef>
          </c:val>
          <c:smooth val="0"/>
        </c:ser>
        <c:ser>
          <c:idx val="1"/>
          <c:order val="1"/>
          <c:tx>
            <c:strRef>
              <c:f>Sheet1!$C$1</c:f>
              <c:strCache>
                <c:ptCount val="1"/>
                <c:pt idx="0">
                  <c:v>长度级加权平均值</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0.00_ </c:formatCode>
                <c:ptCount val="5"/>
                <c:pt idx="0">
                  <c:v>28.04</c:v>
                </c:pt>
                <c:pt idx="1">
                  <c:v>27.92</c:v>
                </c:pt>
                <c:pt idx="2">
                  <c:v>28.09</c:v>
                </c:pt>
                <c:pt idx="3">
                  <c:v>28.05</c:v>
                </c:pt>
                <c:pt idx="4" c:formatCode="General">
                  <c:v>28.58</c:v>
                </c:pt>
              </c:numCache>
            </c:numRef>
          </c:val>
          <c:smooth val="0"/>
        </c:ser>
        <c:dLbls>
          <c:showLegendKey val="0"/>
          <c:showVal val="0"/>
          <c:showCatName val="0"/>
          <c:showSerName val="0"/>
          <c:showPercent val="0"/>
          <c:showBubbleSize val="0"/>
        </c:dLbls>
        <c:marker val="1"/>
        <c:smooth val="0"/>
        <c:axId val="190386176"/>
        <c:axId val="190387712"/>
      </c:lineChart>
      <c:catAx>
        <c:axId val="190366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68000"/>
        <c:crosses val="autoZero"/>
        <c:auto val="1"/>
        <c:lblAlgn val="ctr"/>
        <c:lblOffset val="100"/>
        <c:noMultiLvlLbl val="0"/>
      </c:catAx>
      <c:valAx>
        <c:axId val="19036800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66464"/>
        <c:crosses val="autoZero"/>
        <c:crossBetween val="between"/>
      </c:valAx>
      <c:catAx>
        <c:axId val="19038617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87712"/>
        <c:crosses val="autoZero"/>
        <c:auto val="1"/>
        <c:lblAlgn val="ctr"/>
        <c:lblOffset val="100"/>
        <c:noMultiLvlLbl val="0"/>
      </c:catAx>
      <c:valAx>
        <c:axId val="190387712"/>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86176"/>
        <c:crosses val="max"/>
        <c:crossBetween val="between"/>
      </c:valAx>
    </c:plotArea>
    <c:legend>
      <c:legendPos val="b"/>
      <c:layout>
        <c:manualLayout>
          <c:xMode val="edge"/>
          <c:yMode val="edge"/>
          <c:x val="0.169421400837292"/>
          <c:y val="0.789685039370079"/>
          <c:w val="0.687603305785124"/>
          <c:h val="0.1031721034870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3-8 2016/2017</a:t>
            </a:r>
            <a:r>
              <a:rPr lang="zh-CN" altLang="zh-CN" sz="1100" b="1" i="0" u="none" strike="noStrike" baseline="0">
                <a:effectLst/>
                <a:latin typeface="+mn-ea"/>
                <a:ea typeface="+mn-ea"/>
              </a:rPr>
              <a:t>年度各产棉省份马克隆值级占比分布图</a:t>
            </a:r>
            <a:endParaRPr lang="zh-CN" altLang="en-US" sz="1100">
              <a:latin typeface="+mn-ea"/>
              <a:ea typeface="+mn-ea"/>
            </a:endParaRPr>
          </a:p>
        </c:rich>
      </c:tx>
      <c:layout>
        <c:manualLayout>
          <c:xMode val="edge"/>
          <c:yMode val="edge"/>
          <c:x val="0.242169312788353"/>
          <c:y val="0.911976911976912"/>
        </c:manualLayout>
      </c:layout>
      <c:overlay val="0"/>
    </c:title>
    <c:autoTitleDeleted val="0"/>
    <c:plotArea>
      <c:layout>
        <c:manualLayout>
          <c:layoutTarget val="inner"/>
          <c:xMode val="edge"/>
          <c:yMode val="edge"/>
          <c:x val="0.141654284299158"/>
          <c:y val="0.0175572519083969"/>
          <c:w val="0.836552748885587"/>
          <c:h val="0.641730279898219"/>
        </c:manualLayout>
      </c:layout>
      <c:barChart>
        <c:barDir val="col"/>
        <c:grouping val="percentStacked"/>
        <c:varyColors val="0"/>
        <c:ser>
          <c:idx val="0"/>
          <c:order val="0"/>
          <c:tx>
            <c:strRef>
              <c:f>Sheet1!$B$1</c:f>
              <c:strCache>
                <c:ptCount val="1"/>
                <c:pt idx="0">
                  <c:v>A档占比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c:formatCode>
                <c:ptCount val="10"/>
                <c:pt idx="0">
                  <c:v>0.1232</c:v>
                </c:pt>
                <c:pt idx="1">
                  <c:v>0.0054</c:v>
                </c:pt>
                <c:pt idx="2">
                  <c:v>0.0228</c:v>
                </c:pt>
                <c:pt idx="3">
                  <c:v>0.0931</c:v>
                </c:pt>
                <c:pt idx="4">
                  <c:v>0.1387</c:v>
                </c:pt>
                <c:pt idx="5">
                  <c:v>0.1084</c:v>
                </c:pt>
                <c:pt idx="6">
                  <c:v>0.1555</c:v>
                </c:pt>
                <c:pt idx="7">
                  <c:v>0.0292</c:v>
                </c:pt>
                <c:pt idx="8">
                  <c:v>0.124</c:v>
                </c:pt>
                <c:pt idx="9">
                  <c:v>0.1247</c:v>
                </c:pt>
              </c:numCache>
            </c:numRef>
          </c:val>
        </c:ser>
        <c:ser>
          <c:idx val="1"/>
          <c:order val="1"/>
          <c:tx>
            <c:strRef>
              <c:f>Sheet1!$C$1</c:f>
              <c:strCache>
                <c:ptCount val="1"/>
                <c:pt idx="0">
                  <c:v>B1档占比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c:formatCode>
                <c:ptCount val="10"/>
                <c:pt idx="0">
                  <c:v>0.0047</c:v>
                </c:pt>
                <c:pt idx="1">
                  <c:v>0</c:v>
                </c:pt>
                <c:pt idx="2">
                  <c:v>0.0002</c:v>
                </c:pt>
                <c:pt idx="3">
                  <c:v>0.0128</c:v>
                </c:pt>
                <c:pt idx="4">
                  <c:v>0.0055</c:v>
                </c:pt>
                <c:pt idx="5">
                  <c:v>0.0033</c:v>
                </c:pt>
                <c:pt idx="6">
                  <c:v>0.0084</c:v>
                </c:pt>
                <c:pt idx="7">
                  <c:v>0.0012</c:v>
                </c:pt>
                <c:pt idx="8">
                  <c:v>0.0015</c:v>
                </c:pt>
                <c:pt idx="9">
                  <c:v>0.0048</c:v>
                </c:pt>
              </c:numCache>
            </c:numRef>
          </c:val>
        </c:ser>
        <c:ser>
          <c:idx val="2"/>
          <c:order val="2"/>
          <c:tx>
            <c:strRef>
              <c:f>Sheet1!$D$1</c:f>
              <c:strCache>
                <c:ptCount val="1"/>
                <c:pt idx="0">
                  <c:v>B2档占比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c:formatCode>
                <c:ptCount val="10"/>
                <c:pt idx="0">
                  <c:v>0.6664</c:v>
                </c:pt>
                <c:pt idx="1">
                  <c:v>0.0139</c:v>
                </c:pt>
                <c:pt idx="2">
                  <c:v>0.613</c:v>
                </c:pt>
                <c:pt idx="3">
                  <c:v>0.6082</c:v>
                </c:pt>
                <c:pt idx="4">
                  <c:v>0.4838</c:v>
                </c:pt>
                <c:pt idx="5">
                  <c:v>0.6673</c:v>
                </c:pt>
                <c:pt idx="6">
                  <c:v>0.3786</c:v>
                </c:pt>
                <c:pt idx="7">
                  <c:v>0.618</c:v>
                </c:pt>
                <c:pt idx="8">
                  <c:v>0.8609</c:v>
                </c:pt>
                <c:pt idx="9">
                  <c:v>0.6674</c:v>
                </c:pt>
              </c:numCache>
            </c:numRef>
          </c:val>
        </c:ser>
        <c:ser>
          <c:idx val="3"/>
          <c:order val="3"/>
          <c:tx>
            <c:strRef>
              <c:f>Sheet1!$E$1</c:f>
              <c:strCache>
                <c:ptCount val="1"/>
                <c:pt idx="0">
                  <c:v>C1档占比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Sheet1!$E$2:$E$11</c:f>
              <c:numCache>
                <c:formatCode>0.00%</c:formatCode>
                <c:ptCount val="10"/>
                <c:pt idx="0">
                  <c:v>0.0044</c:v>
                </c:pt>
                <c:pt idx="1">
                  <c:v>0</c:v>
                </c:pt>
                <c:pt idx="2">
                  <c:v>0.0003</c:v>
                </c:pt>
                <c:pt idx="3">
                  <c:v>0.0065</c:v>
                </c:pt>
                <c:pt idx="4">
                  <c:v>0.0093</c:v>
                </c:pt>
                <c:pt idx="5">
                  <c:v>0.0011</c:v>
                </c:pt>
                <c:pt idx="6">
                  <c:v>0.0071</c:v>
                </c:pt>
                <c:pt idx="7">
                  <c:v>0.0016</c:v>
                </c:pt>
                <c:pt idx="8">
                  <c:v>0.0006</c:v>
                </c:pt>
                <c:pt idx="9">
                  <c:v>0.0045</c:v>
                </c:pt>
              </c:numCache>
            </c:numRef>
          </c:val>
        </c:ser>
        <c:ser>
          <c:idx val="4"/>
          <c:order val="4"/>
          <c:tx>
            <c:strRef>
              <c:f>Sheet1!$F$1</c:f>
              <c:strCache>
                <c:ptCount val="1"/>
                <c:pt idx="0">
                  <c:v>C2档占比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Sheet1!$F$2:$F$11</c:f>
              <c:numCache>
                <c:formatCode>0.00%</c:formatCode>
                <c:ptCount val="10"/>
                <c:pt idx="0">
                  <c:v>0.2014</c:v>
                </c:pt>
                <c:pt idx="1">
                  <c:v>0.9807</c:v>
                </c:pt>
                <c:pt idx="2">
                  <c:v>0.3637</c:v>
                </c:pt>
                <c:pt idx="3">
                  <c:v>0.2795</c:v>
                </c:pt>
                <c:pt idx="4">
                  <c:v>0.3627</c:v>
                </c:pt>
                <c:pt idx="5">
                  <c:v>0.2198</c:v>
                </c:pt>
                <c:pt idx="6">
                  <c:v>0.4504</c:v>
                </c:pt>
                <c:pt idx="7">
                  <c:v>0.3501</c:v>
                </c:pt>
                <c:pt idx="8">
                  <c:v>0.013</c:v>
                </c:pt>
                <c:pt idx="9">
                  <c:v>0.1986</c:v>
                </c:pt>
              </c:numCache>
            </c:numRef>
          </c:val>
        </c:ser>
        <c:dLbls>
          <c:showLegendKey val="0"/>
          <c:showVal val="0"/>
          <c:showCatName val="0"/>
          <c:showSerName val="0"/>
          <c:showPercent val="0"/>
          <c:showBubbleSize val="0"/>
        </c:dLbls>
        <c:gapWidth val="95"/>
        <c:overlap val="100"/>
        <c:axId val="190403328"/>
        <c:axId val="190404864"/>
      </c:barChart>
      <c:catAx>
        <c:axId val="1904033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404864"/>
        <c:crosses val="autoZero"/>
        <c:auto val="1"/>
        <c:lblAlgn val="ctr"/>
        <c:lblOffset val="100"/>
        <c:noMultiLvlLbl val="0"/>
      </c:catAx>
      <c:valAx>
        <c:axId val="19040486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40332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3-9 2012/2013</a:t>
            </a:r>
            <a:r>
              <a:rPr lang="zh-CN" altLang="zh-CN" sz="1100" b="1" i="0" u="none" strike="noStrike" baseline="0">
                <a:effectLst/>
                <a:latin typeface="+mn-ea"/>
                <a:ea typeface="+mn-ea"/>
              </a:rPr>
              <a:t>年度</a:t>
            </a:r>
            <a:r>
              <a:rPr lang="en-US" altLang="zh-CN" sz="1100" b="1" i="0" u="none" strike="noStrike" baseline="0">
                <a:effectLst/>
                <a:latin typeface="+mn-ea"/>
                <a:ea typeface="+mn-ea"/>
              </a:rPr>
              <a:t>-2016/2017</a:t>
            </a:r>
            <a:r>
              <a:rPr lang="zh-CN" altLang="zh-CN" sz="1100" b="1" i="0" u="none" strike="noStrike" baseline="0">
                <a:effectLst/>
                <a:latin typeface="+mn-ea"/>
                <a:ea typeface="+mn-ea"/>
              </a:rPr>
              <a:t>年度全国棉花马克隆值级变化情况图</a:t>
            </a:r>
            <a:endParaRPr lang="zh-CN" altLang="en-US" sz="1100">
              <a:latin typeface="+mn-ea"/>
              <a:ea typeface="+mn-ea"/>
            </a:endParaRPr>
          </a:p>
        </c:rich>
      </c:tx>
      <c:layout>
        <c:manualLayout>
          <c:xMode val="edge"/>
          <c:yMode val="edge"/>
          <c:x val="0.114837962962963"/>
          <c:y val="0.917236142748671"/>
        </c:manualLayout>
      </c:layout>
      <c:overlay val="1"/>
    </c:title>
    <c:autoTitleDeleted val="0"/>
    <c:plotArea>
      <c:layout>
        <c:manualLayout>
          <c:layoutTarget val="inner"/>
          <c:xMode val="edge"/>
          <c:yMode val="edge"/>
          <c:x val="0.0882773767862351"/>
          <c:y val="0.0337206368566116"/>
          <c:w val="0.886259660250802"/>
          <c:h val="0.74174017541657"/>
        </c:manualLayout>
      </c:layout>
      <c:barChart>
        <c:barDir val="col"/>
        <c:grouping val="percentStacked"/>
        <c:varyColors val="0"/>
        <c:ser>
          <c:idx val="0"/>
          <c:order val="0"/>
          <c:tx>
            <c:strRef>
              <c:f>Sheet1!$B$1</c:f>
              <c:strCache>
                <c:ptCount val="1"/>
                <c:pt idx="0">
                  <c:v>A档占比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0.00%</c:formatCode>
                <c:ptCount val="5"/>
                <c:pt idx="0">
                  <c:v>0.3135</c:v>
                </c:pt>
                <c:pt idx="1">
                  <c:v>0.2997</c:v>
                </c:pt>
                <c:pt idx="2">
                  <c:v>0.3497</c:v>
                </c:pt>
                <c:pt idx="3">
                  <c:v>0.078</c:v>
                </c:pt>
                <c:pt idx="4">
                  <c:v>0.1232</c:v>
                </c:pt>
              </c:numCache>
            </c:numRef>
          </c:val>
        </c:ser>
        <c:ser>
          <c:idx val="1"/>
          <c:order val="1"/>
          <c:tx>
            <c:strRef>
              <c:f>Sheet1!$C$1</c:f>
              <c:strCache>
                <c:ptCount val="1"/>
                <c:pt idx="0">
                  <c:v>B档占比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0.00%</c:formatCode>
                <c:ptCount val="5"/>
                <c:pt idx="0">
                  <c:v>0.5876</c:v>
                </c:pt>
                <c:pt idx="1">
                  <c:v>0.4851</c:v>
                </c:pt>
                <c:pt idx="2">
                  <c:v>0.4763</c:v>
                </c:pt>
                <c:pt idx="3">
                  <c:v>0.5393</c:v>
                </c:pt>
                <c:pt idx="4">
                  <c:v>0.6711</c:v>
                </c:pt>
              </c:numCache>
            </c:numRef>
          </c:val>
        </c:ser>
        <c:ser>
          <c:idx val="2"/>
          <c:order val="2"/>
          <c:tx>
            <c:strRef>
              <c:f>Sheet1!$D$1</c:f>
              <c:strCache>
                <c:ptCount val="1"/>
                <c:pt idx="0">
                  <c:v>C档占比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0.00%</c:formatCode>
                <c:ptCount val="5"/>
                <c:pt idx="0">
                  <c:v>0.0989</c:v>
                </c:pt>
                <c:pt idx="1">
                  <c:v>0.2152</c:v>
                </c:pt>
                <c:pt idx="2">
                  <c:v>0.1739</c:v>
                </c:pt>
                <c:pt idx="3">
                  <c:v>0.3826</c:v>
                </c:pt>
                <c:pt idx="4">
                  <c:v>0.2058</c:v>
                </c:pt>
              </c:numCache>
            </c:numRef>
          </c:val>
        </c:ser>
        <c:dLbls>
          <c:showLegendKey val="0"/>
          <c:showVal val="1"/>
          <c:showCatName val="0"/>
          <c:showSerName val="0"/>
          <c:showPercent val="0"/>
          <c:showBubbleSize val="0"/>
        </c:dLbls>
        <c:gapWidth val="150"/>
        <c:overlap val="100"/>
        <c:axId val="190540032"/>
        <c:axId val="190541824"/>
      </c:barChart>
      <c:catAx>
        <c:axId val="1905400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541824"/>
        <c:crosses val="autoZero"/>
        <c:auto val="1"/>
        <c:lblAlgn val="ctr"/>
        <c:lblOffset val="100"/>
        <c:noMultiLvlLbl val="0"/>
      </c:catAx>
      <c:valAx>
        <c:axId val="19054182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540032"/>
        <c:crosses val="autoZero"/>
        <c:crossBetween val="between"/>
      </c:valAx>
    </c:plotArea>
    <c:legend>
      <c:legendPos val="b"/>
      <c:layout>
        <c:manualLayout>
          <c:xMode val="edge"/>
          <c:yMode val="edge"/>
          <c:x val="0.315497411781861"/>
          <c:y val="0.853962297992933"/>
          <c:w val="0.387523512685914"/>
          <c:h val="0.05492152888633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3-10 2016/2017</a:t>
            </a:r>
            <a:r>
              <a:rPr lang="zh-CN" altLang="zh-CN" sz="1100" b="1" i="0" u="none" strike="noStrike" baseline="0">
                <a:effectLst/>
                <a:latin typeface="+mn-ea"/>
                <a:ea typeface="+mn-ea"/>
              </a:rPr>
              <a:t>年度各产棉省份平均断裂比强度占比分布图</a:t>
            </a:r>
            <a:endParaRPr lang="zh-CN" altLang="en-US" sz="1100">
              <a:latin typeface="+mn-ea"/>
              <a:ea typeface="+mn-ea"/>
            </a:endParaRPr>
          </a:p>
        </c:rich>
      </c:tx>
      <c:layout>
        <c:manualLayout>
          <c:xMode val="edge"/>
          <c:yMode val="edge"/>
          <c:x val="0.20788736934199"/>
          <c:y val="0.920611019067302"/>
        </c:manualLayout>
      </c:layout>
      <c:overlay val="0"/>
    </c:title>
    <c:autoTitleDeleted val="0"/>
    <c:plotArea>
      <c:layout>
        <c:manualLayout>
          <c:layoutTarget val="inner"/>
          <c:xMode val="edge"/>
          <c:yMode val="edge"/>
          <c:x val="0.167519454804991"/>
          <c:y val="0.0246996999561606"/>
          <c:w val="0.727984106153397"/>
          <c:h val="0.537778584128597"/>
        </c:manualLayout>
      </c:layout>
      <c:barChart>
        <c:barDir val="col"/>
        <c:grouping val="percentStacked"/>
        <c:varyColors val="0"/>
        <c:ser>
          <c:idx val="0"/>
          <c:order val="0"/>
          <c:tx>
            <c:strRef>
              <c:f>Sheet1!$B$1</c:f>
              <c:strCache>
                <c:ptCount val="1"/>
                <c:pt idx="0">
                  <c:v>很差占比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c:formatCode>
                <c:ptCount val="10"/>
                <c:pt idx="0">
                  <c:v>0.0039</c:v>
                </c:pt>
                <c:pt idx="1">
                  <c:v>0</c:v>
                </c:pt>
                <c:pt idx="2">
                  <c:v>0</c:v>
                </c:pt>
                <c:pt idx="3">
                  <c:v>0.0058</c:v>
                </c:pt>
                <c:pt idx="4">
                  <c:v>0.0047</c:v>
                </c:pt>
                <c:pt idx="5">
                  <c:v>0.0002</c:v>
                </c:pt>
                <c:pt idx="6">
                  <c:v>0</c:v>
                </c:pt>
                <c:pt idx="7">
                  <c:v>0</c:v>
                </c:pt>
                <c:pt idx="8">
                  <c:v>0</c:v>
                </c:pt>
                <c:pt idx="9">
                  <c:v>0.0041</c:v>
                </c:pt>
              </c:numCache>
            </c:numRef>
          </c:val>
        </c:ser>
        <c:ser>
          <c:idx val="1"/>
          <c:order val="1"/>
          <c:tx>
            <c:strRef>
              <c:f>Sheet1!$C$1</c:f>
              <c:strCache>
                <c:ptCount val="1"/>
                <c:pt idx="0">
                  <c:v>差占比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c:formatCode>
                <c:ptCount val="10"/>
                <c:pt idx="0">
                  <c:v>0.1055</c:v>
                </c:pt>
                <c:pt idx="1">
                  <c:v>0</c:v>
                </c:pt>
                <c:pt idx="2">
                  <c:v>0.0034</c:v>
                </c:pt>
                <c:pt idx="3">
                  <c:v>0.0463</c:v>
                </c:pt>
                <c:pt idx="4">
                  <c:v>0.0043</c:v>
                </c:pt>
                <c:pt idx="5">
                  <c:v>0.0014</c:v>
                </c:pt>
                <c:pt idx="6">
                  <c:v>0.0193</c:v>
                </c:pt>
                <c:pt idx="7">
                  <c:v>0.0001</c:v>
                </c:pt>
                <c:pt idx="8">
                  <c:v>0.0002</c:v>
                </c:pt>
                <c:pt idx="9">
                  <c:v>0.1104</c:v>
                </c:pt>
              </c:numCache>
            </c:numRef>
          </c:val>
        </c:ser>
        <c:ser>
          <c:idx val="2"/>
          <c:order val="2"/>
          <c:tx>
            <c:strRef>
              <c:f>Sheet1!$D$1</c:f>
              <c:strCache>
                <c:ptCount val="1"/>
                <c:pt idx="0">
                  <c:v>中等占比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c:formatCode>
                <c:ptCount val="10"/>
                <c:pt idx="0">
                  <c:v>0.6266</c:v>
                </c:pt>
                <c:pt idx="1">
                  <c:v>0.1789</c:v>
                </c:pt>
                <c:pt idx="2">
                  <c:v>0.2998</c:v>
                </c:pt>
                <c:pt idx="3">
                  <c:v>0.4704</c:v>
                </c:pt>
                <c:pt idx="4">
                  <c:v>0.3979</c:v>
                </c:pt>
                <c:pt idx="5">
                  <c:v>0.1645</c:v>
                </c:pt>
                <c:pt idx="6">
                  <c:v>0.215</c:v>
                </c:pt>
                <c:pt idx="7">
                  <c:v>0.0696</c:v>
                </c:pt>
                <c:pt idx="8">
                  <c:v>0.3469</c:v>
                </c:pt>
                <c:pt idx="9">
                  <c:v>0.6465</c:v>
                </c:pt>
              </c:numCache>
            </c:numRef>
          </c:val>
        </c:ser>
        <c:ser>
          <c:idx val="3"/>
          <c:order val="3"/>
          <c:tx>
            <c:strRef>
              <c:f>Sheet1!$E$1</c:f>
              <c:strCache>
                <c:ptCount val="1"/>
                <c:pt idx="0">
                  <c:v>强占比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Sheet1!$E$2:$E$11</c:f>
              <c:numCache>
                <c:formatCode>0.00%</c:formatCode>
                <c:ptCount val="10"/>
                <c:pt idx="0">
                  <c:v>0.2198</c:v>
                </c:pt>
                <c:pt idx="1">
                  <c:v>0.7086</c:v>
                </c:pt>
                <c:pt idx="2">
                  <c:v>0.5305</c:v>
                </c:pt>
                <c:pt idx="3">
                  <c:v>0.4056</c:v>
                </c:pt>
                <c:pt idx="4">
                  <c:v>0.4593</c:v>
                </c:pt>
                <c:pt idx="5">
                  <c:v>0.4988</c:v>
                </c:pt>
                <c:pt idx="6">
                  <c:v>0.4882</c:v>
                </c:pt>
                <c:pt idx="7">
                  <c:v>0.4518</c:v>
                </c:pt>
                <c:pt idx="8">
                  <c:v>0.578</c:v>
                </c:pt>
                <c:pt idx="9">
                  <c:v>0.2057</c:v>
                </c:pt>
              </c:numCache>
            </c:numRef>
          </c:val>
        </c:ser>
        <c:ser>
          <c:idx val="4"/>
          <c:order val="4"/>
          <c:tx>
            <c:strRef>
              <c:f>Sheet1!$F$1</c:f>
              <c:strCache>
                <c:ptCount val="1"/>
                <c:pt idx="0">
                  <c:v>很强占比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Sheet1!$F$2:$F$11</c:f>
              <c:numCache>
                <c:formatCode>0.00%</c:formatCode>
                <c:ptCount val="10"/>
                <c:pt idx="0">
                  <c:v>0.0442</c:v>
                </c:pt>
                <c:pt idx="1">
                  <c:v>0.1125</c:v>
                </c:pt>
                <c:pt idx="2">
                  <c:v>0.1662</c:v>
                </c:pt>
                <c:pt idx="3">
                  <c:v>0.0719</c:v>
                </c:pt>
                <c:pt idx="4">
                  <c:v>0.1338</c:v>
                </c:pt>
                <c:pt idx="5">
                  <c:v>0.3351</c:v>
                </c:pt>
                <c:pt idx="6">
                  <c:v>0.2775</c:v>
                </c:pt>
                <c:pt idx="7">
                  <c:v>0.4784</c:v>
                </c:pt>
                <c:pt idx="8">
                  <c:v>0.0748</c:v>
                </c:pt>
                <c:pt idx="9">
                  <c:v>0.0333</c:v>
                </c:pt>
              </c:numCache>
            </c:numRef>
          </c:val>
        </c:ser>
        <c:dLbls>
          <c:showLegendKey val="0"/>
          <c:showVal val="0"/>
          <c:showCatName val="0"/>
          <c:showSerName val="0"/>
          <c:showPercent val="0"/>
          <c:showBubbleSize val="0"/>
        </c:dLbls>
        <c:gapWidth val="95"/>
        <c:overlap val="100"/>
        <c:axId val="190567552"/>
        <c:axId val="190569088"/>
      </c:barChart>
      <c:lineChart>
        <c:grouping val="standard"/>
        <c:varyColors val="0"/>
        <c:ser>
          <c:idx val="5"/>
          <c:order val="5"/>
          <c:tx>
            <c:strRef>
              <c:f>Sheet1!$G$1</c:f>
              <c:strCache>
                <c:ptCount val="1"/>
                <c:pt idx="0">
                  <c:v>平均断裂
比强度值</c:v>
                </c:pt>
              </c:strCache>
            </c:strRef>
          </c:tx>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Sheet1!$G$2:$G$11</c:f>
              <c:numCache>
                <c:formatCode>General</c:formatCode>
                <c:ptCount val="10"/>
                <c:pt idx="0">
                  <c:v>27.94</c:v>
                </c:pt>
                <c:pt idx="1" c:formatCode="@">
                  <c:v>29.8</c:v>
                </c:pt>
                <c:pt idx="2" c:formatCode="@">
                  <c:v>29.65</c:v>
                </c:pt>
                <c:pt idx="3" c:formatCode="@">
                  <c:v>28.76</c:v>
                </c:pt>
                <c:pt idx="4" c:formatCode="@">
                  <c:v>29.33</c:v>
                </c:pt>
                <c:pt idx="5" c:formatCode="@">
                  <c:v>30.37</c:v>
                </c:pt>
                <c:pt idx="6" c:formatCode="@">
                  <c:v>29.99</c:v>
                </c:pt>
                <c:pt idx="7" c:formatCode="@">
                  <c:v>30.83</c:v>
                </c:pt>
                <c:pt idx="8" c:formatCode="@">
                  <c:v>29.38</c:v>
                </c:pt>
                <c:pt idx="9">
                  <c:v>27.83</c:v>
                </c:pt>
              </c:numCache>
            </c:numRef>
          </c:val>
          <c:smooth val="0"/>
        </c:ser>
        <c:dLbls>
          <c:showLegendKey val="0"/>
          <c:showVal val="0"/>
          <c:showCatName val="0"/>
          <c:showSerName val="0"/>
          <c:showPercent val="0"/>
          <c:showBubbleSize val="0"/>
        </c:dLbls>
        <c:marker val="1"/>
        <c:smooth val="0"/>
        <c:axId val="190571264"/>
        <c:axId val="190572800"/>
      </c:lineChart>
      <c:catAx>
        <c:axId val="1905675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569088"/>
        <c:crosses val="autoZero"/>
        <c:auto val="1"/>
        <c:lblAlgn val="ctr"/>
        <c:lblOffset val="100"/>
        <c:noMultiLvlLbl val="0"/>
      </c:catAx>
      <c:valAx>
        <c:axId val="19056908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cN/tex</a:t>
                </a:r>
                <a:endParaRPr lang="zh-CN" altLang="en-US"/>
              </a:p>
            </c:rich>
          </c:tx>
          <c:layout>
            <c:manualLayout>
              <c:xMode val="edge"/>
              <c:yMode val="edge"/>
              <c:x val="0.954779051741339"/>
              <c:y val="0.220877357792315"/>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567552"/>
        <c:crosses val="autoZero"/>
        <c:crossBetween val="between"/>
      </c:valAx>
      <c:catAx>
        <c:axId val="19057126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572800"/>
        <c:crosses val="autoZero"/>
        <c:auto val="1"/>
        <c:lblAlgn val="ctr"/>
        <c:lblOffset val="100"/>
        <c:noMultiLvlLbl val="0"/>
      </c:catAx>
      <c:valAx>
        <c:axId val="190572800"/>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571264"/>
        <c:crosses val="max"/>
        <c:crossBetween val="between"/>
      </c:valAx>
      <c:dTable>
        <c:showHorzBorder val="1"/>
        <c:showVertBorder val="1"/>
        <c:showOutline val="1"/>
        <c:showKeys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2-2 2016/2017</a:t>
            </a:r>
            <a:r>
              <a:rPr lang="zh-CN" altLang="zh-CN" sz="1100" b="1" i="0" baseline="0">
                <a:effectLst/>
                <a:latin typeface="+mn-ea"/>
                <a:ea typeface="+mn-ea"/>
              </a:rPr>
              <a:t>年度全国各产棉省份检验数量占比分布图</a:t>
            </a:r>
            <a:endParaRPr lang="zh-CN" altLang="zh-CN" sz="1100">
              <a:effectLst/>
              <a:latin typeface="+mn-ea"/>
              <a:ea typeface="+mn-ea"/>
            </a:endParaRPr>
          </a:p>
        </c:rich>
      </c:tx>
      <c:layout>
        <c:manualLayout>
          <c:xMode val="edge"/>
          <c:yMode val="edge"/>
          <c:x val="0.20327721661055"/>
          <c:y val="0.899082568807339"/>
        </c:manualLayout>
      </c:layout>
      <c:overlay val="0"/>
    </c:title>
    <c:autoTitleDeleted val="0"/>
    <c:plotArea>
      <c:layout/>
      <c:pieChart>
        <c:varyColors val="1"/>
        <c:ser>
          <c:idx val="0"/>
          <c:order val="0"/>
          <c:tx>
            <c:strRef>
              <c:f>Sheet1!$B$1</c:f>
              <c:strCache>
                <c:ptCount val="1"/>
                <c:pt idx="0">
                  <c:v>比重</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Sheet1!$A$2:$A$11</c:f>
              <c:strCache>
                <c:ptCount val="10"/>
                <c:pt idx="0">
                  <c:v>新疆地方</c:v>
                </c:pt>
                <c:pt idx="1">
                  <c:v>新疆兵团</c:v>
                </c:pt>
                <c:pt idx="2">
                  <c:v>安徽</c:v>
                </c:pt>
                <c:pt idx="3">
                  <c:v>甘肃</c:v>
                </c:pt>
                <c:pt idx="4">
                  <c:v>河北</c:v>
                </c:pt>
                <c:pt idx="5">
                  <c:v>湖北</c:v>
                </c:pt>
                <c:pt idx="6">
                  <c:v>湖南</c:v>
                </c:pt>
                <c:pt idx="7">
                  <c:v>江苏</c:v>
                </c:pt>
                <c:pt idx="8">
                  <c:v>山东</c:v>
                </c:pt>
                <c:pt idx="9">
                  <c:v>天津</c:v>
                </c:pt>
              </c:strCache>
            </c:strRef>
          </c:cat>
          <c:val>
            <c:numRef>
              <c:f>Sheet1!$B$2:$B$11</c:f>
              <c:numCache>
                <c:formatCode>0.00%</c:formatCode>
                <c:ptCount val="10"/>
                <c:pt idx="0">
                  <c:v>0.6325</c:v>
                </c:pt>
                <c:pt idx="1">
                  <c:v>0.3214</c:v>
                </c:pt>
                <c:pt idx="2">
                  <c:v>0.0005</c:v>
                </c:pt>
                <c:pt idx="3">
                  <c:v>0.0035</c:v>
                </c:pt>
                <c:pt idx="4">
                  <c:v>0.0098</c:v>
                </c:pt>
                <c:pt idx="5">
                  <c:v>0.0032</c:v>
                </c:pt>
                <c:pt idx="6">
                  <c:v>0.0006</c:v>
                </c:pt>
                <c:pt idx="7">
                  <c:v>0.0012</c:v>
                </c:pt>
                <c:pt idx="8">
                  <c:v>0.0272</c:v>
                </c:pt>
                <c:pt idx="9">
                  <c:v>0.0001</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a:latin typeface="+mn-ea"/>
                <a:ea typeface="+mn-ea"/>
              </a:rPr>
              <a:t>图</a:t>
            </a:r>
            <a:r>
              <a:rPr lang="en-US" altLang="zh-CN" sz="1100">
                <a:latin typeface="+mn-ea"/>
                <a:ea typeface="+mn-ea"/>
              </a:rPr>
              <a:t>3-11 2014/2015</a:t>
            </a:r>
            <a:r>
              <a:rPr lang="zh-CN" altLang="en-US" sz="1100">
                <a:latin typeface="+mn-ea"/>
                <a:ea typeface="+mn-ea"/>
              </a:rPr>
              <a:t>年度</a:t>
            </a:r>
            <a:r>
              <a:rPr lang="en-US" altLang="zh-CN" sz="1100">
                <a:latin typeface="+mn-ea"/>
                <a:ea typeface="+mn-ea"/>
              </a:rPr>
              <a:t>-2016/2017</a:t>
            </a:r>
            <a:r>
              <a:rPr lang="zh-CN" altLang="en-US" sz="1100">
                <a:latin typeface="+mn-ea"/>
                <a:ea typeface="+mn-ea"/>
              </a:rPr>
              <a:t>年度各产棉省份</a:t>
            </a:r>
            <a:endParaRPr lang="zh-CN" altLang="en-US" sz="1100">
              <a:latin typeface="+mn-ea"/>
              <a:ea typeface="+mn-ea"/>
            </a:endParaRPr>
          </a:p>
          <a:p>
            <a:pPr>
              <a:defRPr lang="zh-CN" sz="1800" b="1" i="0" u="none" strike="noStrike" kern="1200" baseline="0">
                <a:solidFill>
                  <a:schemeClr val="tx1"/>
                </a:solidFill>
                <a:latin typeface="+mn-lt"/>
                <a:ea typeface="+mn-ea"/>
                <a:cs typeface="+mn-cs"/>
              </a:defRPr>
            </a:pPr>
            <a:r>
              <a:rPr lang="zh-CN" altLang="en-US" sz="1100">
                <a:latin typeface="+mn-ea"/>
                <a:ea typeface="+mn-ea"/>
              </a:rPr>
              <a:t>棉花平均断裂比强度变化情况图</a:t>
            </a:r>
            <a:endParaRPr lang="zh-CN" altLang="en-US" sz="1100">
              <a:latin typeface="+mn-ea"/>
              <a:ea typeface="+mn-ea"/>
            </a:endParaRPr>
          </a:p>
        </c:rich>
      </c:tx>
      <c:layout>
        <c:manualLayout>
          <c:xMode val="edge"/>
          <c:yMode val="edge"/>
          <c:x val="0.196435185185185"/>
          <c:y val="0.894002524493599"/>
        </c:manualLayout>
      </c:layout>
      <c:overlay val="0"/>
    </c:title>
    <c:autoTitleDeleted val="0"/>
    <c:plotArea>
      <c:layout>
        <c:manualLayout>
          <c:layoutTarget val="inner"/>
          <c:xMode val="edge"/>
          <c:yMode val="edge"/>
          <c:x val="0.213899278215223"/>
          <c:y val="0.0154031287605295"/>
          <c:w val="0.738571741032371"/>
          <c:h val="0.653558333834225"/>
        </c:manualLayout>
      </c:layout>
      <c:barChart>
        <c:barDir val="bar"/>
        <c:grouping val="clustered"/>
        <c:varyColors val="0"/>
        <c:ser>
          <c:idx val="0"/>
          <c:order val="0"/>
          <c:tx>
            <c:strRef>
              <c:f>Sheet1!$B$1</c:f>
              <c:strCache>
                <c:ptCount val="1"/>
                <c:pt idx="0">
                  <c:v>2014/2015年度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0.00_ </c:formatCode>
                <c:ptCount val="10"/>
                <c:pt idx="0">
                  <c:v>28.04</c:v>
                </c:pt>
                <c:pt idx="1">
                  <c:v>28.84</c:v>
                </c:pt>
                <c:pt idx="2">
                  <c:v>29.79</c:v>
                </c:pt>
                <c:pt idx="3">
                  <c:v>28.34</c:v>
                </c:pt>
                <c:pt idx="4">
                  <c:v>27.89</c:v>
                </c:pt>
                <c:pt idx="5">
                  <c:v>29.01</c:v>
                </c:pt>
                <c:pt idx="6">
                  <c:v>28.26</c:v>
                </c:pt>
                <c:pt idx="7">
                  <c:v>28.56</c:v>
                </c:pt>
                <c:pt idx="8">
                  <c:v>28.59</c:v>
                </c:pt>
                <c:pt idx="9">
                  <c:v>27.83</c:v>
                </c:pt>
              </c:numCache>
            </c:numRef>
          </c:val>
        </c:ser>
        <c:ser>
          <c:idx val="1"/>
          <c:order val="1"/>
          <c:tx>
            <c:strRef>
              <c:f>Sheet1!$C$1</c:f>
              <c:strCache>
                <c:ptCount val="1"/>
                <c:pt idx="0">
                  <c:v>2015/2016年度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0.00_ </c:formatCode>
                <c:ptCount val="10"/>
                <c:pt idx="0">
                  <c:v>28.23</c:v>
                </c:pt>
                <c:pt idx="1">
                  <c:v>28.01</c:v>
                </c:pt>
                <c:pt idx="2">
                  <c:v>28.62</c:v>
                </c:pt>
                <c:pt idx="3">
                  <c:v>29.05</c:v>
                </c:pt>
                <c:pt idx="4">
                  <c:v>29.48</c:v>
                </c:pt>
                <c:pt idx="5">
                  <c:v>29.21</c:v>
                </c:pt>
                <c:pt idx="6">
                  <c:v>29.49</c:v>
                </c:pt>
                <c:pt idx="7">
                  <c:v>29.77</c:v>
                </c:pt>
                <c:pt idx="8">
                  <c:v>29.03</c:v>
                </c:pt>
                <c:pt idx="9">
                  <c:v>28.15</c:v>
                </c:pt>
              </c:numCache>
            </c:numRef>
          </c:val>
        </c:ser>
        <c:ser>
          <c:idx val="2"/>
          <c:order val="2"/>
          <c:tx>
            <c:strRef>
              <c:f>Sheet1!$D$1</c:f>
              <c:strCache>
                <c:ptCount val="1"/>
                <c:pt idx="0">
                  <c:v>2016/2017年度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General</c:formatCode>
                <c:ptCount val="10"/>
                <c:pt idx="0">
                  <c:v>27.94</c:v>
                </c:pt>
                <c:pt idx="1">
                  <c:v>29.8</c:v>
                </c:pt>
                <c:pt idx="2">
                  <c:v>29.65</c:v>
                </c:pt>
                <c:pt idx="3">
                  <c:v>28.76</c:v>
                </c:pt>
                <c:pt idx="4">
                  <c:v>29.33</c:v>
                </c:pt>
                <c:pt idx="5">
                  <c:v>30.37</c:v>
                </c:pt>
                <c:pt idx="6">
                  <c:v>29.99</c:v>
                </c:pt>
                <c:pt idx="7">
                  <c:v>30.83</c:v>
                </c:pt>
                <c:pt idx="8">
                  <c:v>29.38</c:v>
                </c:pt>
                <c:pt idx="9">
                  <c:v>27.83</c:v>
                </c:pt>
              </c:numCache>
            </c:numRef>
          </c:val>
        </c:ser>
        <c:dLbls>
          <c:showLegendKey val="0"/>
          <c:showVal val="0"/>
          <c:showCatName val="0"/>
          <c:showSerName val="0"/>
          <c:showPercent val="0"/>
          <c:showBubbleSize val="0"/>
        </c:dLbls>
        <c:gapWidth val="150"/>
        <c:axId val="190633088"/>
        <c:axId val="190634624"/>
      </c:barChart>
      <c:catAx>
        <c:axId val="190633088"/>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634624"/>
        <c:crosses val="autoZero"/>
        <c:auto val="1"/>
        <c:lblAlgn val="ctr"/>
        <c:lblOffset val="100"/>
        <c:noMultiLvlLbl val="0"/>
      </c:catAx>
      <c:valAx>
        <c:axId val="190634624"/>
        <c:scaling>
          <c:orientation val="minMax"/>
          <c:max val="31"/>
        </c:scaling>
        <c:delete val="0"/>
        <c:axPos val="b"/>
        <c:majorGridlines/>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63308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3-12 2012/2013</a:t>
            </a:r>
            <a:r>
              <a:rPr lang="zh-CN" altLang="zh-CN" sz="1100" b="1" i="0" u="none" strike="noStrike" baseline="0">
                <a:effectLst/>
                <a:latin typeface="+mn-ea"/>
                <a:ea typeface="+mn-ea"/>
              </a:rPr>
              <a:t>年度</a:t>
            </a:r>
            <a:r>
              <a:rPr lang="en-US" altLang="zh-CN" sz="1100" b="1" i="0" u="none" strike="noStrike" baseline="0">
                <a:effectLst/>
                <a:latin typeface="+mn-ea"/>
                <a:ea typeface="+mn-ea"/>
              </a:rPr>
              <a:t>-2016/2017</a:t>
            </a:r>
            <a:r>
              <a:rPr lang="zh-CN" altLang="zh-CN" sz="1100" b="1" i="0" u="none" strike="noStrike" baseline="0">
                <a:effectLst/>
                <a:latin typeface="+mn-ea"/>
                <a:ea typeface="+mn-ea"/>
              </a:rPr>
              <a:t>年度全国棉花断裂比强度变化情况图</a:t>
            </a:r>
            <a:endParaRPr lang="zh-CN" altLang="en-US" sz="1100">
              <a:latin typeface="+mn-ea"/>
              <a:ea typeface="+mn-ea"/>
            </a:endParaRPr>
          </a:p>
        </c:rich>
      </c:tx>
      <c:layout>
        <c:manualLayout>
          <c:xMode val="edge"/>
          <c:yMode val="edge"/>
          <c:x val="0.112579520524759"/>
          <c:y val="0.934592070728001"/>
        </c:manualLayout>
      </c:layout>
      <c:overlay val="0"/>
    </c:title>
    <c:autoTitleDeleted val="0"/>
    <c:plotArea>
      <c:layout>
        <c:manualLayout>
          <c:layoutTarget val="inner"/>
          <c:xMode val="edge"/>
          <c:yMode val="edge"/>
          <c:x val="0.187586823003908"/>
          <c:y val="0.0161310649023314"/>
          <c:w val="0.710682300390843"/>
          <c:h val="0.641021920041565"/>
        </c:manualLayout>
      </c:layout>
      <c:barChart>
        <c:barDir val="col"/>
        <c:grouping val="percentStacked"/>
        <c:varyColors val="0"/>
        <c:ser>
          <c:idx val="1"/>
          <c:order val="1"/>
          <c:tx>
            <c:strRef>
              <c:f>Sheet1!$C$1</c:f>
              <c:strCache>
                <c:ptCount val="1"/>
                <c:pt idx="0">
                  <c:v>差及以下</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0.00%</c:formatCode>
                <c:ptCount val="5"/>
                <c:pt idx="0">
                  <c:v>0.0808</c:v>
                </c:pt>
                <c:pt idx="1">
                  <c:v>0.1294</c:v>
                </c:pt>
                <c:pt idx="2">
                  <c:v>0.083</c:v>
                </c:pt>
                <c:pt idx="3">
                  <c:v>0.0556</c:v>
                </c:pt>
                <c:pt idx="4">
                  <c:v>0.1094</c:v>
                </c:pt>
              </c:numCache>
            </c:numRef>
          </c:val>
        </c:ser>
        <c:ser>
          <c:idx val="2"/>
          <c:order val="2"/>
          <c:tx>
            <c:strRef>
              <c:f>Sheet1!$D$1</c:f>
              <c:strCache>
                <c:ptCount val="1"/>
                <c:pt idx="0">
                  <c:v>中等</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0.00%</c:formatCode>
                <c:ptCount val="5"/>
                <c:pt idx="0">
                  <c:v>0.624</c:v>
                </c:pt>
                <c:pt idx="1">
                  <c:v>0.5758</c:v>
                </c:pt>
                <c:pt idx="2">
                  <c:v>0.6487</c:v>
                </c:pt>
                <c:pt idx="3">
                  <c:v>0.637</c:v>
                </c:pt>
                <c:pt idx="4">
                  <c:v>0.6266</c:v>
                </c:pt>
              </c:numCache>
            </c:numRef>
          </c:val>
        </c:ser>
        <c:ser>
          <c:idx val="3"/>
          <c:order val="3"/>
          <c:tx>
            <c:strRef>
              <c:f>Sheet1!$E$1</c:f>
              <c:strCache>
                <c:ptCount val="1"/>
                <c:pt idx="0">
                  <c:v>强及以上</c:v>
                </c:pt>
              </c:strCache>
            </c:strRef>
          </c:tx>
          <c:invertIfNegative val="0"/>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Sheet1!$E$2:$E$6</c:f>
              <c:numCache>
                <c:formatCode>0.00%</c:formatCode>
                <c:ptCount val="5"/>
                <c:pt idx="0">
                  <c:v>0.2943</c:v>
                </c:pt>
                <c:pt idx="1">
                  <c:v>0.2948</c:v>
                </c:pt>
                <c:pt idx="2">
                  <c:v>0.2683</c:v>
                </c:pt>
                <c:pt idx="3">
                  <c:v>0.3074</c:v>
                </c:pt>
                <c:pt idx="4">
                  <c:v>0.264</c:v>
                </c:pt>
              </c:numCache>
            </c:numRef>
          </c:val>
        </c:ser>
        <c:dLbls>
          <c:showLegendKey val="0"/>
          <c:showVal val="0"/>
          <c:showCatName val="0"/>
          <c:showSerName val="0"/>
          <c:showPercent val="0"/>
          <c:showBubbleSize val="0"/>
        </c:dLbls>
        <c:gapWidth val="150"/>
        <c:axId val="190737792"/>
        <c:axId val="190739584"/>
      </c:barChart>
      <c:lineChart>
        <c:grouping val="standard"/>
        <c:varyColors val="0"/>
        <c:ser>
          <c:idx val="0"/>
          <c:order val="0"/>
          <c:tx>
            <c:strRef>
              <c:f>Sheet1!$B$1</c:f>
              <c:strCache>
                <c:ptCount val="1"/>
                <c:pt idx="0">
                  <c:v>平均断裂
比强度值</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General</c:formatCode>
                <c:ptCount val="5"/>
                <c:pt idx="0">
                  <c:v>28.12</c:v>
                </c:pt>
                <c:pt idx="1">
                  <c:v>27.99</c:v>
                </c:pt>
                <c:pt idx="2">
                  <c:v>28.04</c:v>
                </c:pt>
                <c:pt idx="3">
                  <c:v>28.23</c:v>
                </c:pt>
                <c:pt idx="4">
                  <c:v>27.94</c:v>
                </c:pt>
              </c:numCache>
            </c:numRef>
          </c:val>
          <c:smooth val="0"/>
        </c:ser>
        <c:dLbls>
          <c:showLegendKey val="0"/>
          <c:showVal val="0"/>
          <c:showCatName val="0"/>
          <c:showSerName val="0"/>
          <c:showPercent val="0"/>
          <c:showBubbleSize val="0"/>
        </c:dLbls>
        <c:marker val="1"/>
        <c:smooth val="0"/>
        <c:axId val="190741120"/>
        <c:axId val="190747008"/>
      </c:lineChart>
      <c:catAx>
        <c:axId val="1907377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739584"/>
        <c:crosses val="autoZero"/>
        <c:auto val="1"/>
        <c:lblAlgn val="ctr"/>
        <c:lblOffset val="100"/>
        <c:noMultiLvlLbl val="0"/>
      </c:catAx>
      <c:valAx>
        <c:axId val="19073958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737792"/>
        <c:crosses val="autoZero"/>
        <c:crossBetween val="between"/>
      </c:valAx>
      <c:catAx>
        <c:axId val="190741120"/>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747008"/>
        <c:crosses val="autoZero"/>
        <c:auto val="1"/>
        <c:lblAlgn val="ctr"/>
        <c:lblOffset val="100"/>
        <c:noMultiLvlLbl val="0"/>
      </c:catAx>
      <c:valAx>
        <c:axId val="190747008"/>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cN/tex</a:t>
                </a:r>
                <a:endParaRPr lang="zh-CN" altLang="en-US"/>
              </a:p>
            </c:rich>
          </c:tx>
          <c:layout>
            <c:manualLayout>
              <c:xMode val="edge"/>
              <c:yMode val="edge"/>
              <c:x val="0.950865438302624"/>
              <c:y val="0.32009407141687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741120"/>
        <c:crosses val="max"/>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3-13 2016/2017</a:t>
            </a:r>
            <a:r>
              <a:rPr lang="zh-CN" altLang="zh-CN" sz="1100" b="1" i="0" u="none" strike="noStrike" baseline="0">
                <a:effectLst/>
                <a:latin typeface="+mn-ea"/>
                <a:ea typeface="+mn-ea"/>
              </a:rPr>
              <a:t>年度各产棉省份平均长度整齐度指数占比分布图</a:t>
            </a:r>
            <a:endParaRPr lang="zh-CN" altLang="en-US" sz="1100">
              <a:latin typeface="+mn-ea"/>
              <a:ea typeface="+mn-ea"/>
            </a:endParaRPr>
          </a:p>
        </c:rich>
      </c:tx>
      <c:layout>
        <c:manualLayout>
          <c:xMode val="edge"/>
          <c:yMode val="edge"/>
          <c:x val="0.182526002971768"/>
          <c:y val="0.925600468658465"/>
        </c:manualLayout>
      </c:layout>
      <c:overlay val="0"/>
    </c:title>
    <c:autoTitleDeleted val="0"/>
    <c:plotArea>
      <c:layout>
        <c:manualLayout>
          <c:layoutTarget val="inner"/>
          <c:xMode val="edge"/>
          <c:yMode val="edge"/>
          <c:x val="0.156513125309559"/>
          <c:y val="0.0142999875454935"/>
          <c:w val="0.74539699625214"/>
          <c:h val="0.587756020831315"/>
        </c:manualLayout>
      </c:layout>
      <c:barChart>
        <c:barDir val="col"/>
        <c:grouping val="percentStacked"/>
        <c:varyColors val="0"/>
        <c:ser>
          <c:idx val="0"/>
          <c:order val="0"/>
          <c:tx>
            <c:strRef>
              <c:f>Sheet1!$B$1</c:f>
              <c:strCache>
                <c:ptCount val="1"/>
                <c:pt idx="0">
                  <c:v>很低占比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c:formatCode>
                <c:ptCount val="10"/>
                <c:pt idx="0">
                  <c:v>0.0002</c:v>
                </c:pt>
                <c:pt idx="1">
                  <c:v>0</c:v>
                </c:pt>
                <c:pt idx="2">
                  <c:v>0.0002</c:v>
                </c:pt>
                <c:pt idx="3">
                  <c:v>0.0014</c:v>
                </c:pt>
                <c:pt idx="4">
                  <c:v>0.0064</c:v>
                </c:pt>
                <c:pt idx="5">
                  <c:v>0</c:v>
                </c:pt>
                <c:pt idx="6">
                  <c:v>0.0002</c:v>
                </c:pt>
                <c:pt idx="7">
                  <c:v>0</c:v>
                </c:pt>
                <c:pt idx="8">
                  <c:v>0</c:v>
                </c:pt>
                <c:pt idx="9">
                  <c:v>0.0002</c:v>
                </c:pt>
              </c:numCache>
            </c:numRef>
          </c:val>
        </c:ser>
        <c:ser>
          <c:idx val="1"/>
          <c:order val="1"/>
          <c:tx>
            <c:strRef>
              <c:f>Sheet1!$C$1</c:f>
              <c:strCache>
                <c:ptCount val="1"/>
                <c:pt idx="0">
                  <c:v>低占比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c:formatCode>
                <c:ptCount val="10"/>
                <c:pt idx="0">
                  <c:v>0.0062</c:v>
                </c:pt>
                <c:pt idx="1">
                  <c:v>0.0054</c:v>
                </c:pt>
                <c:pt idx="2">
                  <c:v>0.0194</c:v>
                </c:pt>
                <c:pt idx="3">
                  <c:v>0.0681</c:v>
                </c:pt>
                <c:pt idx="4">
                  <c:v>0.0033</c:v>
                </c:pt>
                <c:pt idx="5">
                  <c:v>0.0099</c:v>
                </c:pt>
                <c:pt idx="6">
                  <c:v>0.0386</c:v>
                </c:pt>
                <c:pt idx="7">
                  <c:v>0.002</c:v>
                </c:pt>
                <c:pt idx="8">
                  <c:v>0.001</c:v>
                </c:pt>
                <c:pt idx="9">
                  <c:v>0.0058</c:v>
                </c:pt>
              </c:numCache>
            </c:numRef>
          </c:val>
        </c:ser>
        <c:ser>
          <c:idx val="2"/>
          <c:order val="2"/>
          <c:tx>
            <c:strRef>
              <c:f>Sheet1!$D$1</c:f>
              <c:strCache>
                <c:ptCount val="1"/>
                <c:pt idx="0">
                  <c:v>中等占比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c:formatCode>
                <c:ptCount val="10"/>
                <c:pt idx="0">
                  <c:v>0.4929</c:v>
                </c:pt>
                <c:pt idx="1">
                  <c:v>0.4804</c:v>
                </c:pt>
                <c:pt idx="2">
                  <c:v>0.5217</c:v>
                </c:pt>
                <c:pt idx="3">
                  <c:v>0.6728</c:v>
                </c:pt>
                <c:pt idx="4">
                  <c:v>0.7763</c:v>
                </c:pt>
                <c:pt idx="5">
                  <c:v>0.7134</c:v>
                </c:pt>
                <c:pt idx="6">
                  <c:v>0.6674</c:v>
                </c:pt>
                <c:pt idx="7">
                  <c:v>0.8004</c:v>
                </c:pt>
                <c:pt idx="8">
                  <c:v>0.4696</c:v>
                </c:pt>
                <c:pt idx="9">
                  <c:v>0.4851</c:v>
                </c:pt>
              </c:numCache>
            </c:numRef>
          </c:val>
        </c:ser>
        <c:ser>
          <c:idx val="3"/>
          <c:order val="3"/>
          <c:tx>
            <c:strRef>
              <c:f>Sheet1!$E$1</c:f>
              <c:strCache>
                <c:ptCount val="1"/>
                <c:pt idx="0">
                  <c:v>高占比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Sheet1!$E$2:$E$11</c:f>
              <c:numCache>
                <c:formatCode>0.00%</c:formatCode>
                <c:ptCount val="10"/>
                <c:pt idx="0">
                  <c:v>0.4994</c:v>
                </c:pt>
                <c:pt idx="1">
                  <c:v>0.5126</c:v>
                </c:pt>
                <c:pt idx="2">
                  <c:v>0.4568</c:v>
                </c:pt>
                <c:pt idx="3">
                  <c:v>0.2575</c:v>
                </c:pt>
                <c:pt idx="4">
                  <c:v>0.214</c:v>
                </c:pt>
                <c:pt idx="5">
                  <c:v>0.2765</c:v>
                </c:pt>
                <c:pt idx="6">
                  <c:v>0.2938</c:v>
                </c:pt>
                <c:pt idx="7">
                  <c:v>0.1976</c:v>
                </c:pt>
                <c:pt idx="8">
                  <c:v>0.5294</c:v>
                </c:pt>
                <c:pt idx="9">
                  <c:v>0.5076</c:v>
                </c:pt>
              </c:numCache>
            </c:numRef>
          </c:val>
        </c:ser>
        <c:ser>
          <c:idx val="4"/>
          <c:order val="4"/>
          <c:tx>
            <c:strRef>
              <c:f>Sheet1!$F$1</c:f>
              <c:strCache>
                <c:ptCount val="1"/>
                <c:pt idx="0">
                  <c:v>很高占比</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Sheet1!$F$2:$F$11</c:f>
              <c:numCache>
                <c:formatCode>0.00%</c:formatCode>
                <c:ptCount val="10"/>
                <c:pt idx="0">
                  <c:v>0.0013</c:v>
                </c:pt>
                <c:pt idx="1">
                  <c:v>0.0016</c:v>
                </c:pt>
                <c:pt idx="2">
                  <c:v>0.002</c:v>
                </c:pt>
                <c:pt idx="3">
                  <c:v>0.0002</c:v>
                </c:pt>
                <c:pt idx="4">
                  <c:v>0</c:v>
                </c:pt>
                <c:pt idx="5">
                  <c:v>0.0002</c:v>
                </c:pt>
                <c:pt idx="6">
                  <c:v>0</c:v>
                </c:pt>
                <c:pt idx="7">
                  <c:v>0</c:v>
                </c:pt>
                <c:pt idx="8">
                  <c:v>0.0001</c:v>
                </c:pt>
                <c:pt idx="9">
                  <c:v>0.0014</c:v>
                </c:pt>
              </c:numCache>
            </c:numRef>
          </c:val>
        </c:ser>
        <c:dLbls>
          <c:showLegendKey val="0"/>
          <c:showVal val="0"/>
          <c:showCatName val="0"/>
          <c:showSerName val="0"/>
          <c:showPercent val="0"/>
          <c:showBubbleSize val="0"/>
        </c:dLbls>
        <c:gapWidth val="95"/>
        <c:overlap val="100"/>
        <c:axId val="190811136"/>
        <c:axId val="190817024"/>
      </c:barChart>
      <c:lineChart>
        <c:grouping val="standard"/>
        <c:varyColors val="0"/>
        <c:ser>
          <c:idx val="5"/>
          <c:order val="5"/>
          <c:tx>
            <c:strRef>
              <c:f>Sheet1!$G$1</c:f>
              <c:strCache>
                <c:ptCount val="1"/>
                <c:pt idx="0">
                  <c:v>平均长度
整齐度值</c:v>
                </c:pt>
              </c:strCache>
            </c:strRef>
          </c:tx>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Sheet1!$G$2:$G$11</c:f>
              <c:numCache>
                <c:formatCode>@</c:formatCode>
                <c:ptCount val="10"/>
                <c:pt idx="0">
                  <c:v>82.91</c:v>
                </c:pt>
                <c:pt idx="1">
                  <c:v>82.98</c:v>
                </c:pt>
                <c:pt idx="2">
                  <c:v>82.77</c:v>
                </c:pt>
                <c:pt idx="3">
                  <c:v>82.11</c:v>
                </c:pt>
                <c:pt idx="4" c:formatCode="General">
                  <c:v>82.28</c:v>
                </c:pt>
                <c:pt idx="5">
                  <c:v>82.39</c:v>
                </c:pt>
                <c:pt idx="6">
                  <c:v>82.23</c:v>
                </c:pt>
                <c:pt idx="7">
                  <c:v>82.31</c:v>
                </c:pt>
                <c:pt idx="8">
                  <c:v>82.99</c:v>
                </c:pt>
                <c:pt idx="9">
                  <c:v>82.93</c:v>
                </c:pt>
              </c:numCache>
            </c:numRef>
          </c:val>
          <c:smooth val="0"/>
        </c:ser>
        <c:dLbls>
          <c:showLegendKey val="0"/>
          <c:showVal val="0"/>
          <c:showCatName val="0"/>
          <c:showSerName val="0"/>
          <c:showPercent val="0"/>
          <c:showBubbleSize val="0"/>
        </c:dLbls>
        <c:marker val="1"/>
        <c:smooth val="0"/>
        <c:axId val="190818944"/>
        <c:axId val="190820736"/>
      </c:lineChart>
      <c:catAx>
        <c:axId val="1908111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817024"/>
        <c:crosses val="autoZero"/>
        <c:auto val="1"/>
        <c:lblAlgn val="ctr"/>
        <c:lblOffset val="100"/>
        <c:noMultiLvlLbl val="0"/>
      </c:catAx>
      <c:valAx>
        <c:axId val="190817024"/>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a:t>
                </a:r>
                <a:endParaRPr lang="zh-CN" altLang="en-US"/>
              </a:p>
            </c:rich>
          </c:tx>
          <c:layout>
            <c:manualLayout>
              <c:xMode val="edge"/>
              <c:yMode val="edge"/>
              <c:x val="0.96654615795611"/>
              <c:y val="0.308869176941635"/>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811136"/>
        <c:crosses val="autoZero"/>
        <c:crossBetween val="between"/>
      </c:valAx>
      <c:catAx>
        <c:axId val="19081894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820736"/>
        <c:crosses val="autoZero"/>
        <c:auto val="1"/>
        <c:lblAlgn val="ctr"/>
        <c:lblOffset val="100"/>
        <c:noMultiLvlLbl val="0"/>
      </c:catAx>
      <c:valAx>
        <c:axId val="190820736"/>
        <c:scaling>
          <c:orientation val="minMax"/>
        </c:scaling>
        <c:delete val="0"/>
        <c:axPos val="r"/>
        <c:numFmt formatCode="@"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818944"/>
        <c:crosses val="max"/>
        <c:crossBetween val="between"/>
      </c:valAx>
      <c:dTable>
        <c:showHorzBorder val="1"/>
        <c:showVertBorder val="1"/>
        <c:showOutline val="1"/>
        <c:showKeys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3-14 2014/2015</a:t>
            </a:r>
            <a:r>
              <a:rPr lang="zh-CN" altLang="zh-CN" sz="1100" b="1" i="0" baseline="0">
                <a:effectLst/>
                <a:latin typeface="+mn-ea"/>
                <a:ea typeface="+mn-ea"/>
              </a:rPr>
              <a:t>年度</a:t>
            </a:r>
            <a:r>
              <a:rPr lang="en-US" altLang="zh-CN" sz="1100" b="1" i="0" baseline="0">
                <a:effectLst/>
                <a:latin typeface="+mn-ea"/>
                <a:ea typeface="+mn-ea"/>
              </a:rPr>
              <a:t>-2016/2017</a:t>
            </a:r>
            <a:r>
              <a:rPr lang="zh-CN" altLang="zh-CN" sz="1100" b="1" i="0" baseline="0">
                <a:effectLst/>
                <a:latin typeface="+mn-ea"/>
                <a:ea typeface="+mn-ea"/>
              </a:rPr>
              <a:t>年度各产棉省份</a:t>
            </a:r>
            <a:endParaRPr lang="zh-CN" altLang="zh-CN" sz="1100">
              <a:effectLst/>
              <a:latin typeface="+mn-ea"/>
              <a:ea typeface="+mn-ea"/>
            </a:endParaRPr>
          </a:p>
          <a:p>
            <a:pPr algn="ct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棉花平均长度整齐度指数变化情况图</a:t>
            </a:r>
            <a:endParaRPr lang="zh-CN" altLang="zh-CN" sz="1100">
              <a:effectLst/>
              <a:latin typeface="+mn-ea"/>
              <a:ea typeface="+mn-ea"/>
            </a:endParaRPr>
          </a:p>
        </c:rich>
      </c:tx>
      <c:layout>
        <c:manualLayout>
          <c:xMode val="edge"/>
          <c:yMode val="edge"/>
          <c:x val="0.251990740740741"/>
          <c:y val="0.906926406926407"/>
        </c:manualLayout>
      </c:layout>
      <c:overlay val="0"/>
    </c:title>
    <c:autoTitleDeleted val="0"/>
    <c:plotArea>
      <c:layout>
        <c:manualLayout>
          <c:layoutTarget val="inner"/>
          <c:xMode val="edge"/>
          <c:yMode val="edge"/>
          <c:x val="0.202325204141149"/>
          <c:y val="0.016017316017316"/>
          <c:w val="0.747055628463109"/>
          <c:h val="0.691393291747622"/>
        </c:manualLayout>
      </c:layout>
      <c:barChart>
        <c:barDir val="bar"/>
        <c:grouping val="clustered"/>
        <c:varyColors val="0"/>
        <c:ser>
          <c:idx val="0"/>
          <c:order val="0"/>
          <c:tx>
            <c:strRef>
              <c:f>Sheet1!$B$1</c:f>
              <c:strCache>
                <c:ptCount val="1"/>
                <c:pt idx="0">
                  <c:v>2014/2015年度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General</c:formatCode>
                <c:ptCount val="10"/>
                <c:pt idx="0">
                  <c:v>82.34</c:v>
                </c:pt>
                <c:pt idx="1">
                  <c:v>83.09</c:v>
                </c:pt>
                <c:pt idx="2">
                  <c:v>83.26</c:v>
                </c:pt>
                <c:pt idx="3">
                  <c:v>83.19</c:v>
                </c:pt>
                <c:pt idx="4">
                  <c:v>82.69</c:v>
                </c:pt>
                <c:pt idx="5">
                  <c:v>82.78</c:v>
                </c:pt>
                <c:pt idx="6">
                  <c:v>82.27</c:v>
                </c:pt>
                <c:pt idx="7">
                  <c:v>82.73</c:v>
                </c:pt>
                <c:pt idx="8">
                  <c:v>83.26</c:v>
                </c:pt>
                <c:pt idx="9">
                  <c:v>82.73</c:v>
                </c:pt>
              </c:numCache>
            </c:numRef>
          </c:val>
        </c:ser>
        <c:ser>
          <c:idx val="1"/>
          <c:order val="1"/>
          <c:tx>
            <c:strRef>
              <c:f>Sheet1!$C$1</c:f>
              <c:strCache>
                <c:ptCount val="1"/>
                <c:pt idx="0">
                  <c:v>2015/2016年度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General</c:formatCode>
                <c:ptCount val="10"/>
                <c:pt idx="0">
                  <c:v>82.68</c:v>
                </c:pt>
                <c:pt idx="1">
                  <c:v>82.36</c:v>
                </c:pt>
                <c:pt idx="2">
                  <c:v>82.18</c:v>
                </c:pt>
                <c:pt idx="3">
                  <c:v>82.81</c:v>
                </c:pt>
                <c:pt idx="4">
                  <c:v>83.35</c:v>
                </c:pt>
                <c:pt idx="5">
                  <c:v>82.44</c:v>
                </c:pt>
                <c:pt idx="6">
                  <c:v>83.37</c:v>
                </c:pt>
                <c:pt idx="7">
                  <c:v>82.82</c:v>
                </c:pt>
                <c:pt idx="8">
                  <c:v>83.02</c:v>
                </c:pt>
                <c:pt idx="9" c:formatCode="0.00_ ">
                  <c:v>82.7</c:v>
                </c:pt>
              </c:numCache>
            </c:numRef>
          </c:val>
        </c:ser>
        <c:ser>
          <c:idx val="2"/>
          <c:order val="2"/>
          <c:tx>
            <c:strRef>
              <c:f>Sheet1!$D$1</c:f>
              <c:strCache>
                <c:ptCount val="1"/>
                <c:pt idx="0">
                  <c:v>2016/2017年度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c:formatCode>
                <c:ptCount val="10"/>
                <c:pt idx="0">
                  <c:v>82.91</c:v>
                </c:pt>
                <c:pt idx="1">
                  <c:v>82.98</c:v>
                </c:pt>
                <c:pt idx="2">
                  <c:v>82.77</c:v>
                </c:pt>
                <c:pt idx="3">
                  <c:v>82.11</c:v>
                </c:pt>
                <c:pt idx="4">
                  <c:v>82.28</c:v>
                </c:pt>
                <c:pt idx="5" c:formatCode="General">
                  <c:v>82.39</c:v>
                </c:pt>
                <c:pt idx="6">
                  <c:v>82.23</c:v>
                </c:pt>
                <c:pt idx="7">
                  <c:v>82.31</c:v>
                </c:pt>
                <c:pt idx="8">
                  <c:v>82.99</c:v>
                </c:pt>
                <c:pt idx="9" c:formatCode="General">
                  <c:v>82.93</c:v>
                </c:pt>
              </c:numCache>
            </c:numRef>
          </c:val>
        </c:ser>
        <c:dLbls>
          <c:showLegendKey val="0"/>
          <c:showVal val="0"/>
          <c:showCatName val="0"/>
          <c:showSerName val="0"/>
          <c:showPercent val="0"/>
          <c:showBubbleSize val="0"/>
        </c:dLbls>
        <c:gapWidth val="150"/>
        <c:axId val="190839424"/>
        <c:axId val="211460864"/>
      </c:barChart>
      <c:catAx>
        <c:axId val="190839424"/>
        <c:scaling>
          <c:orientation val="minMax"/>
        </c:scaling>
        <c:delete val="0"/>
        <c:axPos val="l"/>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zh-CN" sz="1000" b="1" i="0" baseline="0">
                    <a:effectLst/>
                    <a:latin typeface="+mn-ea"/>
                    <a:ea typeface="+mn-ea"/>
                  </a:rPr>
                  <a:t>单位：</a:t>
                </a:r>
                <a:r>
                  <a:rPr lang="en-US" altLang="zh-CN" sz="1000" b="1" i="0" baseline="0">
                    <a:effectLst/>
                    <a:latin typeface="+mn-ea"/>
                    <a:ea typeface="+mn-ea"/>
                  </a:rPr>
                  <a:t>%</a:t>
                </a:r>
                <a:endParaRPr lang="zh-CN" altLang="zh-CN" sz="1000">
                  <a:effectLst/>
                  <a:latin typeface="+mn-ea"/>
                  <a:ea typeface="+mn-ea"/>
                </a:endParaRPr>
              </a:p>
            </c:rich>
          </c:tx>
          <c:layout>
            <c:manualLayout>
              <c:xMode val="edge"/>
              <c:yMode val="edge"/>
              <c:x val="0.0582626130067075"/>
              <c:y val="0.289717251252684"/>
            </c:manualLayout>
          </c:layout>
          <c:overlay val="0"/>
        </c:title>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1460864"/>
        <c:crosses val="autoZero"/>
        <c:auto val="1"/>
        <c:lblAlgn val="ctr"/>
        <c:lblOffset val="100"/>
        <c:noMultiLvlLbl val="0"/>
      </c:catAx>
      <c:valAx>
        <c:axId val="211460864"/>
        <c:scaling>
          <c:orientation val="minMax"/>
        </c:scaling>
        <c:delete val="0"/>
        <c:axPos val="b"/>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83942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3-15 2012/2013</a:t>
            </a:r>
            <a:r>
              <a:rPr lang="zh-CN" altLang="zh-CN" sz="1100" b="1">
                <a:effectLst/>
                <a:latin typeface="+mn-ea"/>
                <a:ea typeface="+mn-ea"/>
              </a:rPr>
              <a:t>年度</a:t>
            </a:r>
            <a:r>
              <a:rPr lang="en-US" altLang="zh-CN" sz="1100" b="1">
                <a:effectLst/>
                <a:latin typeface="+mn-ea"/>
                <a:ea typeface="+mn-ea"/>
              </a:rPr>
              <a:t>-2016/2017</a:t>
            </a:r>
            <a:r>
              <a:rPr lang="zh-CN" altLang="zh-CN" sz="1100" b="1">
                <a:effectLst/>
                <a:latin typeface="+mn-ea"/>
                <a:ea typeface="+mn-ea"/>
              </a:rPr>
              <a:t>年度全国棉花</a:t>
            </a:r>
            <a:endParaRPr lang="zh-CN" altLang="zh-CN" sz="110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长度整齐度指数变化情况图</a:t>
            </a:r>
            <a:endParaRPr lang="zh-CN" altLang="en-US" sz="1100">
              <a:latin typeface="+mn-ea"/>
              <a:ea typeface="+mn-ea"/>
            </a:endParaRPr>
          </a:p>
        </c:rich>
      </c:tx>
      <c:layout>
        <c:manualLayout>
          <c:xMode val="edge"/>
          <c:yMode val="edge"/>
          <c:x val="0.214953703703704"/>
          <c:y val="0.869041560644614"/>
        </c:manualLayout>
      </c:layout>
      <c:overlay val="1"/>
    </c:title>
    <c:autoTitleDeleted val="0"/>
    <c:plotArea>
      <c:layout>
        <c:manualLayout>
          <c:layoutTarget val="inner"/>
          <c:xMode val="edge"/>
          <c:yMode val="edge"/>
          <c:x val="0.0883101851851852"/>
          <c:y val="0.0376933895921238"/>
          <c:w val="0.766203703703704"/>
          <c:h val="0.685654008438819"/>
        </c:manualLayout>
      </c:layout>
      <c:barChart>
        <c:barDir val="col"/>
        <c:grouping val="percentStacked"/>
        <c:varyColors val="0"/>
        <c:ser>
          <c:idx val="0"/>
          <c:order val="0"/>
          <c:tx>
            <c:strRef>
              <c:f>Sheet1!$B$1</c:f>
              <c:strCache>
                <c:ptCount val="1"/>
                <c:pt idx="0">
                  <c:v>低及以下</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0.00%</c:formatCode>
                <c:ptCount val="5"/>
                <c:pt idx="0">
                  <c:v>0.0174</c:v>
                </c:pt>
                <c:pt idx="1">
                  <c:v>0.0183</c:v>
                </c:pt>
                <c:pt idx="2">
                  <c:v>0.0126</c:v>
                </c:pt>
                <c:pt idx="3">
                  <c:v>0.0086</c:v>
                </c:pt>
                <c:pt idx="4">
                  <c:v>0.0064</c:v>
                </c:pt>
              </c:numCache>
            </c:numRef>
          </c:val>
        </c:ser>
        <c:ser>
          <c:idx val="1"/>
          <c:order val="1"/>
          <c:tx>
            <c:strRef>
              <c:f>Sheet1!$C$1</c:f>
              <c:strCache>
                <c:ptCount val="1"/>
                <c:pt idx="0">
                  <c:v>中等</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0.00%</c:formatCode>
                <c:ptCount val="5"/>
                <c:pt idx="0">
                  <c:v>0.6343</c:v>
                </c:pt>
                <c:pt idx="1">
                  <c:v>0.6661</c:v>
                </c:pt>
                <c:pt idx="2">
                  <c:v>0.5403</c:v>
                </c:pt>
                <c:pt idx="3">
                  <c:v>0.5866</c:v>
                </c:pt>
                <c:pt idx="4">
                  <c:v>0.4929</c:v>
                </c:pt>
              </c:numCache>
            </c:numRef>
          </c:val>
        </c:ser>
        <c:ser>
          <c:idx val="2"/>
          <c:order val="2"/>
          <c:tx>
            <c:strRef>
              <c:f>Sheet1!$D$1</c:f>
              <c:strCache>
                <c:ptCount val="1"/>
                <c:pt idx="0">
                  <c:v>高及以上</c:v>
                </c:pt>
              </c:strCache>
            </c:strRef>
          </c:tx>
          <c:invertIfNegative val="0"/>
          <c:dLbls>
            <c:dLbl>
              <c:idx val="4"/>
              <c:layout>
                <c:manualLayout>
                  <c:x val="0.00694444444444444"/>
                  <c:y val="0.03571428571428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0.00%</c:formatCode>
                <c:ptCount val="5"/>
                <c:pt idx="0">
                  <c:v>0.3485</c:v>
                </c:pt>
                <c:pt idx="1">
                  <c:v>0.3156</c:v>
                </c:pt>
                <c:pt idx="2">
                  <c:v>0.4471</c:v>
                </c:pt>
                <c:pt idx="3">
                  <c:v>0.4047</c:v>
                </c:pt>
                <c:pt idx="4">
                  <c:v>0.5007</c:v>
                </c:pt>
              </c:numCache>
            </c:numRef>
          </c:val>
        </c:ser>
        <c:dLbls>
          <c:showLegendKey val="0"/>
          <c:showVal val="1"/>
          <c:showCatName val="0"/>
          <c:showSerName val="0"/>
          <c:showPercent val="0"/>
          <c:showBubbleSize val="0"/>
        </c:dLbls>
        <c:gapWidth val="150"/>
        <c:overlap val="100"/>
        <c:axId val="221886336"/>
        <c:axId val="221897472"/>
      </c:barChart>
      <c:lineChart>
        <c:grouping val="standard"/>
        <c:varyColors val="0"/>
        <c:ser>
          <c:idx val="3"/>
          <c:order val="3"/>
          <c:tx>
            <c:strRef>
              <c:f>Sheet1!$E$1</c:f>
              <c:strCache>
                <c:ptCount val="1"/>
                <c:pt idx="0">
                  <c:v>平均长度整齐度指数</c:v>
                </c:pt>
              </c:strCache>
            </c:strRef>
          </c:tx>
          <c:dLbls>
            <c:dLbl>
              <c:idx val="3"/>
              <c:layout>
                <c:manualLayout>
                  <c:x val="-0.0483854622338874"/>
                  <c:y val="-0.02380952380952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83854622338874"/>
                  <c:y val="-0.02380952380952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2012/2013年度</c:v>
                </c:pt>
                <c:pt idx="1">
                  <c:v>2013/2014年度</c:v>
                </c:pt>
                <c:pt idx="2">
                  <c:v>2014/2015年度</c:v>
                </c:pt>
                <c:pt idx="3">
                  <c:v>2015/2016年度</c:v>
                </c:pt>
                <c:pt idx="4">
                  <c:v>2016/2017年度</c:v>
                </c:pt>
              </c:strCache>
            </c:strRef>
          </c:cat>
          <c:val>
            <c:numRef>
              <c:f>Sheet1!$E$2:$E$6</c:f>
              <c:numCache>
                <c:formatCode>0.00_ </c:formatCode>
                <c:ptCount val="5"/>
                <c:pt idx="0">
                  <c:v>82.48</c:v>
                </c:pt>
                <c:pt idx="1">
                  <c:v>82.41</c:v>
                </c:pt>
                <c:pt idx="2">
                  <c:v>82.34</c:v>
                </c:pt>
                <c:pt idx="3" c:formatCode="General">
                  <c:v>82.68</c:v>
                </c:pt>
                <c:pt idx="4">
                  <c:v>82.91</c:v>
                </c:pt>
              </c:numCache>
            </c:numRef>
          </c:val>
          <c:smooth val="0"/>
        </c:ser>
        <c:dLbls>
          <c:showLegendKey val="0"/>
          <c:showVal val="1"/>
          <c:showCatName val="0"/>
          <c:showSerName val="0"/>
          <c:showPercent val="0"/>
          <c:showBubbleSize val="0"/>
        </c:dLbls>
        <c:marker val="1"/>
        <c:smooth val="0"/>
        <c:axId val="221899008"/>
        <c:axId val="221900800"/>
      </c:lineChart>
      <c:catAx>
        <c:axId val="2218863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1897472"/>
        <c:crosses val="autoZero"/>
        <c:auto val="1"/>
        <c:lblAlgn val="ctr"/>
        <c:lblOffset val="100"/>
        <c:noMultiLvlLbl val="0"/>
      </c:catAx>
      <c:valAx>
        <c:axId val="22189747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1886336"/>
        <c:crosses val="autoZero"/>
        <c:crossBetween val="between"/>
      </c:valAx>
      <c:catAx>
        <c:axId val="22189900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1900800"/>
        <c:crosses val="autoZero"/>
        <c:auto val="1"/>
        <c:lblAlgn val="ctr"/>
        <c:lblOffset val="100"/>
        <c:noMultiLvlLbl val="0"/>
      </c:catAx>
      <c:valAx>
        <c:axId val="221900800"/>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a:t>
                </a:r>
                <a:endParaRPr lang="zh-CN" altLang="en-US"/>
              </a:p>
            </c:rich>
          </c:tx>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1899008"/>
        <c:crosses val="max"/>
        <c:crossBetween val="between"/>
      </c:valAx>
    </c:plotArea>
    <c:legend>
      <c:legendPos val="b"/>
      <c:layout>
        <c:manualLayout>
          <c:xMode val="edge"/>
          <c:yMode val="edge"/>
          <c:x val="0.0935185185185185"/>
          <c:y val="0.799549064000588"/>
          <c:w val="0.794444444444444"/>
          <c:h val="0.054548758328285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2-3 2012/2013</a:t>
            </a:r>
            <a:r>
              <a:rPr lang="zh-CN" altLang="zh-CN" sz="1100" b="1" i="0" u="none" strike="noStrike" baseline="0">
                <a:effectLst/>
                <a:latin typeface="+mn-ea"/>
                <a:ea typeface="+mn-ea"/>
              </a:rPr>
              <a:t>年度</a:t>
            </a:r>
            <a:r>
              <a:rPr lang="en-US" altLang="zh-CN" sz="1100" b="1" i="0" u="none" strike="noStrike" baseline="0">
                <a:effectLst/>
                <a:latin typeface="+mn-ea"/>
                <a:ea typeface="+mn-ea"/>
              </a:rPr>
              <a:t>-2016/2017</a:t>
            </a:r>
            <a:r>
              <a:rPr lang="zh-CN" altLang="zh-CN" sz="1100" b="1" i="0" u="none" strike="noStrike" baseline="0">
                <a:effectLst/>
                <a:latin typeface="+mn-ea"/>
                <a:ea typeface="+mn-ea"/>
              </a:rPr>
              <a:t>年度三大产棉区检验量占比变化图</a:t>
            </a:r>
            <a:endParaRPr lang="zh-CN" altLang="en-US" sz="1100">
              <a:latin typeface="+mn-ea"/>
              <a:ea typeface="+mn-ea"/>
            </a:endParaRPr>
          </a:p>
        </c:rich>
      </c:tx>
      <c:layout>
        <c:manualLayout>
          <c:xMode val="edge"/>
          <c:yMode val="edge"/>
          <c:x val="0.210412829133493"/>
          <c:y val="0.909706299905124"/>
        </c:manualLayout>
      </c:layout>
      <c:overlay val="0"/>
    </c:title>
    <c:autoTitleDeleted val="0"/>
    <c:plotArea>
      <c:layout>
        <c:manualLayout>
          <c:layoutTarget val="inner"/>
          <c:xMode val="edge"/>
          <c:yMode val="edge"/>
          <c:x val="0.215241870807816"/>
          <c:y val="0.0396296974506094"/>
          <c:w val="0.763924795858851"/>
          <c:h val="0.591836200331074"/>
        </c:manualLayout>
      </c:layout>
      <c:areaChart>
        <c:grouping val="percentStacked"/>
        <c:varyColors val="0"/>
        <c:ser>
          <c:idx val="0"/>
          <c:order val="0"/>
          <c:tx>
            <c:strRef>
              <c:f>Sheet1!$B$1</c:f>
              <c:strCache>
                <c:ptCount val="1"/>
                <c:pt idx="0">
                  <c:v>长江流域棉区</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General</c:formatCode>
                <c:ptCount val="5"/>
                <c:pt idx="0">
                  <c:v>484.96</c:v>
                </c:pt>
                <c:pt idx="1">
                  <c:v>513.71</c:v>
                </c:pt>
                <c:pt idx="2">
                  <c:v>131.54</c:v>
                </c:pt>
                <c:pt idx="3">
                  <c:v>19.29</c:v>
                </c:pt>
                <c:pt idx="4">
                  <c:v>9.69</c:v>
                </c:pt>
              </c:numCache>
            </c:numRef>
          </c:val>
        </c:ser>
        <c:ser>
          <c:idx val="1"/>
          <c:order val="1"/>
          <c:tx>
            <c:strRef>
              <c:f>Sheet1!$C$1</c:f>
              <c:strCache>
                <c:ptCount val="1"/>
                <c:pt idx="0">
                  <c:v>黄河流域棉区</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General</c:formatCode>
                <c:ptCount val="5"/>
                <c:pt idx="0">
                  <c:v>675.95</c:v>
                </c:pt>
                <c:pt idx="1">
                  <c:v>631.32</c:v>
                </c:pt>
                <c:pt idx="2">
                  <c:v>264.92</c:v>
                </c:pt>
                <c:pt idx="3">
                  <c:v>108.16</c:v>
                </c:pt>
                <c:pt idx="4">
                  <c:v>65.23</c:v>
                </c:pt>
              </c:numCache>
            </c:numRef>
          </c:val>
        </c:ser>
        <c:ser>
          <c:idx val="2"/>
          <c:order val="2"/>
          <c:tx>
            <c:strRef>
              <c:f>Sheet1!$D$1</c:f>
              <c:strCache>
                <c:ptCount val="1"/>
                <c:pt idx="0">
                  <c:v>西北内陆棉区</c:v>
                </c:pt>
              </c:strCache>
            </c:strRef>
          </c:tx>
          <c:spPr>
            <a:ln w="25400">
              <a:noFill/>
            </a:ln>
          </c:spPr>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General</c:formatCode>
                <c:ptCount val="5"/>
                <c:pt idx="0">
                  <c:v>2022.21</c:v>
                </c:pt>
                <c:pt idx="1">
                  <c:v>2121.87</c:v>
                </c:pt>
                <c:pt idx="2">
                  <c:v>1874.56</c:v>
                </c:pt>
                <c:pt idx="3">
                  <c:v>1456.59</c:v>
                </c:pt>
                <c:pt idx="4">
                  <c:v>1684.01</c:v>
                </c:pt>
              </c:numCache>
            </c:numRef>
          </c:val>
        </c:ser>
        <c:dLbls>
          <c:showLegendKey val="0"/>
          <c:showVal val="0"/>
          <c:showCatName val="0"/>
          <c:showSerName val="0"/>
          <c:showPercent val="0"/>
          <c:showBubbleSize val="0"/>
        </c:dLbls>
        <c:axId val="176657152"/>
        <c:axId val="176658688"/>
      </c:areaChart>
      <c:catAx>
        <c:axId val="176657152"/>
        <c:scaling>
          <c:orientation val="minMax"/>
        </c:scaling>
        <c:delete val="0"/>
        <c:axPos val="b"/>
        <c:numFmt formatCode="m/d/yyyy"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658688"/>
        <c:crosses val="autoZero"/>
        <c:auto val="1"/>
        <c:lblAlgn val="ctr"/>
        <c:lblOffset val="100"/>
        <c:noMultiLvlLbl val="0"/>
      </c:catAx>
      <c:valAx>
        <c:axId val="17665868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manualLayout>
              <c:xMode val="edge"/>
              <c:yMode val="edge"/>
              <c:x val="0.0838615596779216"/>
              <c:y val="0.304852181247128"/>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657152"/>
        <c:crosses val="autoZero"/>
        <c:crossBetween val="midCat"/>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ea"/>
                <a:ea typeface="+mn-ea"/>
                <a:cs typeface="+mn-cs"/>
              </a:defRPr>
            </a:pPr>
            <a:r>
              <a:rPr lang="zh-CN" altLang="zh-CN" sz="1100" b="1">
                <a:effectLst/>
                <a:latin typeface="+mn-ea"/>
                <a:ea typeface="+mn-ea"/>
              </a:rPr>
              <a:t>图</a:t>
            </a:r>
            <a:r>
              <a:rPr lang="en-US" altLang="zh-CN" sz="1100" b="1">
                <a:effectLst/>
                <a:latin typeface="+mn-ea"/>
                <a:ea typeface="+mn-ea"/>
              </a:rPr>
              <a:t>2-3-1 2012/2013</a:t>
            </a:r>
            <a:r>
              <a:rPr lang="zh-CN" altLang="zh-CN" sz="1100" b="1">
                <a:effectLst/>
                <a:latin typeface="+mn-ea"/>
                <a:ea typeface="+mn-ea"/>
              </a:rPr>
              <a:t>年度</a:t>
            </a:r>
            <a:r>
              <a:rPr lang="en-US" altLang="zh-CN" sz="1100" b="1">
                <a:effectLst/>
                <a:latin typeface="+mn-ea"/>
                <a:ea typeface="+mn-ea"/>
              </a:rPr>
              <a:t>-2016/2017</a:t>
            </a:r>
            <a:r>
              <a:rPr lang="zh-CN" altLang="zh-CN" sz="1100" b="1">
                <a:effectLst/>
                <a:latin typeface="+mn-ea"/>
                <a:ea typeface="+mn-ea"/>
              </a:rPr>
              <a:t>年度长江流域棉区</a:t>
            </a:r>
            <a:endParaRPr lang="en-US" altLang="zh-CN" sz="1100" b="1">
              <a:effectLst/>
              <a:latin typeface="+mn-ea"/>
              <a:ea typeface="+mn-ea"/>
            </a:endParaRPr>
          </a:p>
          <a:p>
            <a:pPr>
              <a:defRPr lang="zh-CN" sz="1800" b="1" i="0" u="none" strike="noStrike" kern="1200" baseline="0">
                <a:solidFill>
                  <a:schemeClr val="tx1"/>
                </a:solidFill>
                <a:latin typeface="+mn-ea"/>
                <a:ea typeface="+mn-ea"/>
                <a:cs typeface="+mn-cs"/>
              </a:defRPr>
            </a:pPr>
            <a:r>
              <a:rPr lang="zh-CN" altLang="zh-CN" sz="1100" b="1">
                <a:effectLst/>
                <a:latin typeface="+mn-ea"/>
                <a:ea typeface="+mn-ea"/>
              </a:rPr>
              <a:t>各产棉省份检验数量变化趋势图</a:t>
            </a:r>
            <a:endParaRPr lang="zh-CN" altLang="en-US" sz="1100">
              <a:latin typeface="+mn-ea"/>
              <a:ea typeface="+mn-ea"/>
            </a:endParaRPr>
          </a:p>
        </c:rich>
      </c:tx>
      <c:layout>
        <c:manualLayout>
          <c:xMode val="edge"/>
          <c:yMode val="edge"/>
          <c:x val="0.247930446194226"/>
          <c:y val="0.855405428044899"/>
        </c:manualLayout>
      </c:layout>
      <c:overlay val="1"/>
    </c:title>
    <c:autoTitleDeleted val="0"/>
    <c:plotArea>
      <c:layout>
        <c:manualLayout>
          <c:layoutTarget val="inner"/>
          <c:xMode val="edge"/>
          <c:yMode val="edge"/>
          <c:x val="0.157201079031788"/>
          <c:y val="0.0440576177977753"/>
          <c:w val="0.817335958005249"/>
          <c:h val="0.359027309086364"/>
        </c:manualLayout>
      </c:layout>
      <c:lineChart>
        <c:grouping val="standard"/>
        <c:varyColors val="0"/>
        <c:ser>
          <c:idx val="0"/>
          <c:order val="0"/>
          <c:tx>
            <c:strRef>
              <c:f>Sheet1!$B$1</c:f>
              <c:strCache>
                <c:ptCount val="1"/>
                <c:pt idx="0">
                  <c:v>江苏</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0.00_);[Red]\(0.00\)</c:formatCode>
                <c:ptCount val="5"/>
                <c:pt idx="0">
                  <c:v>39.2382</c:v>
                </c:pt>
                <c:pt idx="1">
                  <c:v>41.7182</c:v>
                </c:pt>
                <c:pt idx="2">
                  <c:v>13.13</c:v>
                </c:pt>
                <c:pt idx="3">
                  <c:v>3.86</c:v>
                </c:pt>
                <c:pt idx="4">
                  <c:v>2.12</c:v>
                </c:pt>
              </c:numCache>
            </c:numRef>
          </c:val>
          <c:smooth val="0"/>
        </c:ser>
        <c:ser>
          <c:idx val="1"/>
          <c:order val="1"/>
          <c:tx>
            <c:strRef>
              <c:f>Sheet1!$C$1</c:f>
              <c:strCache>
                <c:ptCount val="1"/>
                <c:pt idx="0">
                  <c:v>浙江</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0.00_);[Red]\(0.00\)</c:formatCode>
                <c:ptCount val="5"/>
                <c:pt idx="0">
                  <c:v>6.1072</c:v>
                </c:pt>
                <c:pt idx="1">
                  <c:v>6.7283</c:v>
                </c:pt>
                <c:pt idx="2">
                  <c:v>1.66</c:v>
                </c:pt>
                <c:pt idx="3">
                  <c:v>0.87</c:v>
                </c:pt>
                <c:pt idx="4">
                  <c:v>0</c:v>
                </c:pt>
              </c:numCache>
            </c:numRef>
          </c:val>
          <c:smooth val="0"/>
        </c:ser>
        <c:ser>
          <c:idx val="2"/>
          <c:order val="2"/>
          <c:tx>
            <c:strRef>
              <c:f>Sheet1!$D$1</c:f>
              <c:strCache>
                <c:ptCount val="1"/>
                <c:pt idx="0">
                  <c:v>安徽</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0.00_);[Red]\(0.00\)</c:formatCode>
                <c:ptCount val="5"/>
                <c:pt idx="0">
                  <c:v>67.1725</c:v>
                </c:pt>
                <c:pt idx="1">
                  <c:v>55.6438</c:v>
                </c:pt>
                <c:pt idx="2">
                  <c:v>23.49</c:v>
                </c:pt>
                <c:pt idx="3">
                  <c:v>5.27</c:v>
                </c:pt>
                <c:pt idx="4">
                  <c:v>0.89</c:v>
                </c:pt>
              </c:numCache>
            </c:numRef>
          </c:val>
          <c:smooth val="0"/>
        </c:ser>
        <c:ser>
          <c:idx val="3"/>
          <c:order val="3"/>
          <c:tx>
            <c:strRef>
              <c:f>Sheet1!$E$1</c:f>
              <c:strCache>
                <c:ptCount val="1"/>
                <c:pt idx="0">
                  <c:v>江西</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Sheet1!$E$2:$E$6</c:f>
              <c:numCache>
                <c:formatCode>0.00_);[Red]\(0.00\)</c:formatCode>
                <c:ptCount val="5"/>
                <c:pt idx="0">
                  <c:v>36.0342</c:v>
                </c:pt>
                <c:pt idx="1">
                  <c:v>43.2125</c:v>
                </c:pt>
                <c:pt idx="2">
                  <c:v>6.22</c:v>
                </c:pt>
                <c:pt idx="3">
                  <c:v>0.18</c:v>
                </c:pt>
                <c:pt idx="4">
                  <c:v>0</c:v>
                </c:pt>
              </c:numCache>
            </c:numRef>
          </c:val>
          <c:smooth val="0"/>
        </c:ser>
        <c:ser>
          <c:idx val="4"/>
          <c:order val="4"/>
          <c:tx>
            <c:strRef>
              <c:f>Sheet1!$F$1</c:f>
              <c:strCache>
                <c:ptCount val="1"/>
                <c:pt idx="0">
                  <c:v>湖北</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Sheet1!$F$2:$F$6</c:f>
              <c:numCache>
                <c:formatCode>0.00_);[Red]\(0.00\)</c:formatCode>
                <c:ptCount val="5"/>
                <c:pt idx="0">
                  <c:v>256.4726</c:v>
                </c:pt>
                <c:pt idx="1">
                  <c:v>281.4958</c:v>
                </c:pt>
                <c:pt idx="2">
                  <c:v>65.09</c:v>
                </c:pt>
                <c:pt idx="3">
                  <c:v>6.98</c:v>
                </c:pt>
                <c:pt idx="4">
                  <c:v>5.58</c:v>
                </c:pt>
              </c:numCache>
            </c:numRef>
          </c:val>
          <c:smooth val="0"/>
        </c:ser>
        <c:ser>
          <c:idx val="5"/>
          <c:order val="5"/>
          <c:tx>
            <c:strRef>
              <c:f>Sheet1!$G$1</c:f>
              <c:strCache>
                <c:ptCount val="1"/>
                <c:pt idx="0">
                  <c:v>湖南</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Sheet1!$G$2:$G$6</c:f>
              <c:numCache>
                <c:formatCode>0.00_);[Red]\(0.00\)</c:formatCode>
                <c:ptCount val="5"/>
                <c:pt idx="0">
                  <c:v>79.9351</c:v>
                </c:pt>
                <c:pt idx="1">
                  <c:v>84.9129</c:v>
                </c:pt>
                <c:pt idx="2">
                  <c:v>21.95</c:v>
                </c:pt>
                <c:pt idx="3">
                  <c:v>2.13</c:v>
                </c:pt>
                <c:pt idx="4">
                  <c:v>1.1</c:v>
                </c:pt>
              </c:numCache>
            </c:numRef>
          </c:val>
          <c:smooth val="0"/>
        </c:ser>
        <c:dLbls>
          <c:showLegendKey val="0"/>
          <c:showVal val="0"/>
          <c:showCatName val="0"/>
          <c:showSerName val="0"/>
          <c:showPercent val="0"/>
          <c:showBubbleSize val="0"/>
        </c:dLbls>
        <c:marker val="1"/>
        <c:smooth val="0"/>
        <c:axId val="176721920"/>
        <c:axId val="176723456"/>
      </c:lineChart>
      <c:catAx>
        <c:axId val="1767219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723456"/>
        <c:crosses val="autoZero"/>
        <c:auto val="1"/>
        <c:lblAlgn val="ctr"/>
        <c:lblOffset val="100"/>
        <c:noMultiLvlLbl val="0"/>
      </c:catAx>
      <c:valAx>
        <c:axId val="176723456"/>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72192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2-3-2 2012/2013</a:t>
            </a:r>
            <a:r>
              <a:rPr lang="zh-CN" altLang="zh-CN" sz="1100" b="1">
                <a:effectLst/>
                <a:latin typeface="+mn-ea"/>
                <a:ea typeface="+mn-ea"/>
              </a:rPr>
              <a:t>年度</a:t>
            </a:r>
            <a:r>
              <a:rPr lang="en-US" altLang="zh-CN" sz="1100" b="1">
                <a:effectLst/>
                <a:latin typeface="+mn-ea"/>
                <a:ea typeface="+mn-ea"/>
              </a:rPr>
              <a:t>-2016/2017</a:t>
            </a:r>
            <a:r>
              <a:rPr lang="zh-CN" altLang="zh-CN" sz="1100" b="1">
                <a:effectLst/>
                <a:latin typeface="+mn-ea"/>
                <a:ea typeface="+mn-ea"/>
              </a:rPr>
              <a:t>年度黄河流域棉区</a:t>
            </a:r>
            <a:endParaRPr lang="zh-CN" altLang="zh-CN" sz="110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各产棉省份检验数量变化趋势图</a:t>
            </a:r>
            <a:endParaRPr lang="zh-CN" altLang="en-US" sz="1100">
              <a:latin typeface="+mn-ea"/>
              <a:ea typeface="+mn-ea"/>
            </a:endParaRPr>
          </a:p>
        </c:rich>
      </c:tx>
      <c:layout>
        <c:manualLayout>
          <c:xMode val="edge"/>
          <c:yMode val="edge"/>
          <c:x val="0.244090269241847"/>
          <c:y val="0.863466774597101"/>
        </c:manualLayout>
      </c:layout>
      <c:overlay val="1"/>
    </c:title>
    <c:autoTitleDeleted val="0"/>
    <c:plotArea>
      <c:layout>
        <c:manualLayout>
          <c:layoutTarget val="inner"/>
          <c:xMode val="edge"/>
          <c:yMode val="edge"/>
          <c:x val="0.154255232576337"/>
          <c:y val="0.0359304844176031"/>
          <c:w val="0.820758963902936"/>
          <c:h val="0.431957546568815"/>
        </c:manualLayout>
      </c:layout>
      <c:lineChart>
        <c:grouping val="standard"/>
        <c:varyColors val="0"/>
        <c:ser>
          <c:idx val="0"/>
          <c:order val="0"/>
          <c:tx>
            <c:strRef>
              <c:f>Sheet1!$B$1</c:f>
              <c:strCache>
                <c:ptCount val="1"/>
                <c:pt idx="0">
                  <c:v>天津</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0.00_);[Red]\(0.00\)</c:formatCode>
                <c:ptCount val="5"/>
                <c:pt idx="0">
                  <c:v>23.4774</c:v>
                </c:pt>
                <c:pt idx="1">
                  <c:v>32.5271</c:v>
                </c:pt>
                <c:pt idx="2">
                  <c:v>5.68</c:v>
                </c:pt>
                <c:pt idx="3">
                  <c:v>0.68</c:v>
                </c:pt>
                <c:pt idx="4">
                  <c:v>0.19</c:v>
                </c:pt>
              </c:numCache>
            </c:numRef>
          </c:val>
          <c:smooth val="0"/>
        </c:ser>
        <c:ser>
          <c:idx val="1"/>
          <c:order val="1"/>
          <c:tx>
            <c:strRef>
              <c:f>Sheet1!$C$1</c:f>
              <c:strCache>
                <c:ptCount val="1"/>
                <c:pt idx="0">
                  <c:v>河北</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0.00_);[Red]\(0.00\)</c:formatCode>
                <c:ptCount val="5"/>
                <c:pt idx="0">
                  <c:v>260.9508</c:v>
                </c:pt>
                <c:pt idx="1">
                  <c:v>193.6278</c:v>
                </c:pt>
                <c:pt idx="2">
                  <c:v>94.25</c:v>
                </c:pt>
                <c:pt idx="3">
                  <c:v>38.04</c:v>
                </c:pt>
                <c:pt idx="4">
                  <c:v>17.21</c:v>
                </c:pt>
              </c:numCache>
            </c:numRef>
          </c:val>
          <c:smooth val="0"/>
        </c:ser>
        <c:ser>
          <c:idx val="2"/>
          <c:order val="2"/>
          <c:tx>
            <c:strRef>
              <c:f>Sheet1!$D$1</c:f>
              <c:strCache>
                <c:ptCount val="1"/>
                <c:pt idx="0">
                  <c:v>山西</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0.00_);[Red]\(0.00\)</c:formatCode>
                <c:ptCount val="5"/>
                <c:pt idx="0">
                  <c:v>2.842</c:v>
                </c:pt>
                <c:pt idx="1">
                  <c:v>3.3646</c:v>
                </c:pt>
                <c:pt idx="2">
                  <c:v>0.83</c:v>
                </c:pt>
                <c:pt idx="3">
                  <c:v>0.11</c:v>
                </c:pt>
                <c:pt idx="4">
                  <c:v>0</c:v>
                </c:pt>
              </c:numCache>
            </c:numRef>
          </c:val>
          <c:smooth val="0"/>
        </c:ser>
        <c:ser>
          <c:idx val="3"/>
          <c:order val="3"/>
          <c:tx>
            <c:strRef>
              <c:f>Sheet1!$E$1</c:f>
              <c:strCache>
                <c:ptCount val="1"/>
                <c:pt idx="0">
                  <c:v>山东</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Sheet1!$E$2:$E$6</c:f>
              <c:numCache>
                <c:formatCode>0.00_);[Red]\(0.00\)</c:formatCode>
                <c:ptCount val="5"/>
                <c:pt idx="0">
                  <c:v>334.1983</c:v>
                </c:pt>
                <c:pt idx="1">
                  <c:v>346.6701</c:v>
                </c:pt>
                <c:pt idx="2">
                  <c:v>161.07</c:v>
                </c:pt>
                <c:pt idx="3">
                  <c:v>69.34</c:v>
                </c:pt>
                <c:pt idx="4">
                  <c:v>47.83</c:v>
                </c:pt>
              </c:numCache>
            </c:numRef>
          </c:val>
          <c:smooth val="0"/>
        </c:ser>
        <c:ser>
          <c:idx val="4"/>
          <c:order val="4"/>
          <c:tx>
            <c:strRef>
              <c:f>Sheet1!$F$1</c:f>
              <c:strCache>
                <c:ptCount val="1"/>
                <c:pt idx="0">
                  <c:v>河南</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Sheet1!$F$2:$F$6</c:f>
              <c:numCache>
                <c:formatCode>0.00_);[Red]\(0.00\)</c:formatCode>
                <c:ptCount val="5"/>
                <c:pt idx="0">
                  <c:v>47.1679</c:v>
                </c:pt>
                <c:pt idx="1">
                  <c:v>44.5383</c:v>
                </c:pt>
                <c:pt idx="2">
                  <c:v>2.7</c:v>
                </c:pt>
                <c:pt idx="3">
                  <c:v>0</c:v>
                </c:pt>
                <c:pt idx="4">
                  <c:v>0</c:v>
                </c:pt>
              </c:numCache>
            </c:numRef>
          </c:val>
          <c:smooth val="0"/>
        </c:ser>
        <c:ser>
          <c:idx val="5"/>
          <c:order val="5"/>
          <c:tx>
            <c:strRef>
              <c:f>Sheet1!$G$1</c:f>
              <c:strCache>
                <c:ptCount val="1"/>
                <c:pt idx="0">
                  <c:v>陕西</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Sheet1!$G$2:$G$6</c:f>
              <c:numCache>
                <c:formatCode>0.00_);[Red]\(0.00\)</c:formatCode>
                <c:ptCount val="5"/>
                <c:pt idx="0">
                  <c:v>7.3166</c:v>
                </c:pt>
                <c:pt idx="1">
                  <c:v>10.5968</c:v>
                </c:pt>
                <c:pt idx="2">
                  <c:v>0.39</c:v>
                </c:pt>
                <c:pt idx="3">
                  <c:v>0</c:v>
                </c:pt>
                <c:pt idx="4">
                  <c:v>0</c:v>
                </c:pt>
              </c:numCache>
            </c:numRef>
          </c:val>
          <c:smooth val="0"/>
        </c:ser>
        <c:dLbls>
          <c:showLegendKey val="0"/>
          <c:showVal val="0"/>
          <c:showCatName val="0"/>
          <c:showSerName val="0"/>
          <c:showPercent val="0"/>
          <c:showBubbleSize val="0"/>
        </c:dLbls>
        <c:marker val="1"/>
        <c:smooth val="0"/>
        <c:axId val="176745472"/>
        <c:axId val="176751360"/>
      </c:lineChart>
      <c:catAx>
        <c:axId val="176745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751360"/>
        <c:crosses val="autoZero"/>
        <c:auto val="1"/>
        <c:lblAlgn val="ctr"/>
        <c:lblOffset val="100"/>
        <c:noMultiLvlLbl val="0"/>
      </c:catAx>
      <c:valAx>
        <c:axId val="176751360"/>
        <c:scaling>
          <c:orientation val="minMax"/>
          <c:max val="350"/>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74547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2-3-3 2012/2013</a:t>
            </a:r>
            <a:r>
              <a:rPr lang="zh-CN" altLang="zh-CN" sz="1100" b="1">
                <a:effectLst/>
                <a:latin typeface="+mn-ea"/>
                <a:ea typeface="+mn-ea"/>
              </a:rPr>
              <a:t>年度</a:t>
            </a:r>
            <a:r>
              <a:rPr lang="en-US" altLang="zh-CN" sz="1100" b="1">
                <a:effectLst/>
                <a:latin typeface="+mn-ea"/>
                <a:ea typeface="+mn-ea"/>
              </a:rPr>
              <a:t>-2016/2017</a:t>
            </a:r>
            <a:r>
              <a:rPr lang="zh-CN" altLang="zh-CN" sz="1100" b="1">
                <a:effectLst/>
                <a:latin typeface="+mn-ea"/>
                <a:ea typeface="+mn-ea"/>
              </a:rPr>
              <a:t>年度西北内陆棉区</a:t>
            </a:r>
            <a:endParaRPr lang="zh-CN" altLang="zh-CN" sz="1100">
              <a:effectLst/>
              <a:latin typeface="+mn-ea"/>
              <a:ea typeface="+mn-ea"/>
            </a:endParaRPr>
          </a:p>
          <a:p>
            <a:pPr algn="ctr">
              <a:defRPr lang="zh-CN" sz="1800" b="1" i="0" u="none" strike="noStrike" kern="1200" baseline="0">
                <a:solidFill>
                  <a:schemeClr val="tx1"/>
                </a:solidFill>
                <a:latin typeface="+mn-lt"/>
                <a:ea typeface="+mn-ea"/>
                <a:cs typeface="+mn-cs"/>
              </a:defRPr>
            </a:pPr>
            <a:r>
              <a:rPr lang="zh-CN" altLang="zh-CN" sz="1100" b="1">
                <a:effectLst/>
                <a:latin typeface="+mn-ea"/>
                <a:ea typeface="+mn-ea"/>
              </a:rPr>
              <a:t>各产棉省份检验数量变化趋势图</a:t>
            </a:r>
            <a:endParaRPr lang="zh-CN" altLang="zh-CN" sz="1100">
              <a:effectLst/>
              <a:latin typeface="+mn-ea"/>
              <a:ea typeface="+mn-ea"/>
            </a:endParaRPr>
          </a:p>
        </c:rich>
      </c:tx>
      <c:layout>
        <c:manualLayout>
          <c:xMode val="edge"/>
          <c:yMode val="edge"/>
          <c:x val="0.264009826515588"/>
          <c:y val="0.873956447086765"/>
        </c:manualLayout>
      </c:layout>
      <c:overlay val="1"/>
    </c:title>
    <c:autoTitleDeleted val="0"/>
    <c:plotArea>
      <c:layout>
        <c:manualLayout>
          <c:layoutTarget val="inner"/>
          <c:xMode val="edge"/>
          <c:yMode val="edge"/>
          <c:x val="0.194444444444444"/>
          <c:y val="0.0440576177977753"/>
          <c:w val="0.780092592592593"/>
          <c:h val="0.497597175353081"/>
        </c:manualLayout>
      </c:layout>
      <c:lineChart>
        <c:grouping val="standard"/>
        <c:varyColors val="0"/>
        <c:ser>
          <c:idx val="0"/>
          <c:order val="0"/>
          <c:tx>
            <c:strRef>
              <c:f>Sheet1!$B$1</c:f>
              <c:strCache>
                <c:ptCount val="1"/>
                <c:pt idx="0">
                  <c:v>甘肃</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Sheet1!$B$2:$B$6</c:f>
              <c:numCache>
                <c:formatCode>0.00_);[Red]\(0.00\)</c:formatCode>
                <c:ptCount val="5"/>
                <c:pt idx="0">
                  <c:v>47.6203</c:v>
                </c:pt>
                <c:pt idx="1">
                  <c:v>48.8098</c:v>
                </c:pt>
                <c:pt idx="2">
                  <c:v>35.39</c:v>
                </c:pt>
                <c:pt idx="3">
                  <c:v>13.33</c:v>
                </c:pt>
                <c:pt idx="4" c:formatCode="General">
                  <c:v>6.15</c:v>
                </c:pt>
              </c:numCache>
            </c:numRef>
          </c:val>
          <c:smooth val="0"/>
        </c:ser>
        <c:ser>
          <c:idx val="1"/>
          <c:order val="1"/>
          <c:tx>
            <c:strRef>
              <c:f>Sheet1!$C$1</c:f>
              <c:strCache>
                <c:ptCount val="1"/>
                <c:pt idx="0">
                  <c:v>新疆地方</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Sheet1!$C$2:$C$6</c:f>
              <c:numCache>
                <c:formatCode>0.00_);[Red]\(0.00\)</c:formatCode>
                <c:ptCount val="5"/>
                <c:pt idx="0">
                  <c:v>1284.2628</c:v>
                </c:pt>
                <c:pt idx="1">
                  <c:v>1348.1318</c:v>
                </c:pt>
                <c:pt idx="2">
                  <c:v>1096.1</c:v>
                </c:pt>
                <c:pt idx="3">
                  <c:v>816.73</c:v>
                </c:pt>
                <c:pt idx="4" c:formatCode="General">
                  <c:v>1112.48</c:v>
                </c:pt>
              </c:numCache>
            </c:numRef>
          </c:val>
          <c:smooth val="0"/>
        </c:ser>
        <c:ser>
          <c:idx val="2"/>
          <c:order val="2"/>
          <c:tx>
            <c:strRef>
              <c:f>Sheet1!$D$1</c:f>
              <c:strCache>
                <c:ptCount val="1"/>
                <c:pt idx="0">
                  <c:v>新疆兵团</c:v>
                </c:pt>
              </c:strCache>
            </c:strRef>
          </c:tx>
          <c:dLbls>
            <c:delete val="1"/>
          </c:dLbls>
          <c:cat>
            <c:strRef>
              <c:f>Sheet1!$A$2:$A$6</c:f>
              <c:strCache>
                <c:ptCount val="5"/>
                <c:pt idx="0">
                  <c:v>2012/2013年度</c:v>
                </c:pt>
                <c:pt idx="1">
                  <c:v>2013/2014年度</c:v>
                </c:pt>
                <c:pt idx="2">
                  <c:v>2014/2015年度</c:v>
                </c:pt>
                <c:pt idx="3">
                  <c:v>2015/2016年度</c:v>
                </c:pt>
                <c:pt idx="4">
                  <c:v>2016/2017年度</c:v>
                </c:pt>
              </c:strCache>
            </c:strRef>
          </c:cat>
          <c:val>
            <c:numRef>
              <c:f>Sheet1!$D$2:$D$6</c:f>
              <c:numCache>
                <c:formatCode>0.00_);[Red]\(0.00\)</c:formatCode>
                <c:ptCount val="5"/>
                <c:pt idx="0">
                  <c:v>690.326</c:v>
                </c:pt>
                <c:pt idx="1">
                  <c:v>724.9323</c:v>
                </c:pt>
                <c:pt idx="2">
                  <c:v>743.07</c:v>
                </c:pt>
                <c:pt idx="3">
                  <c:v>626.52</c:v>
                </c:pt>
                <c:pt idx="4" c:formatCode="General">
                  <c:v>565.38</c:v>
                </c:pt>
              </c:numCache>
            </c:numRef>
          </c:val>
          <c:smooth val="0"/>
        </c:ser>
        <c:dLbls>
          <c:showLegendKey val="0"/>
          <c:showVal val="0"/>
          <c:showCatName val="0"/>
          <c:showSerName val="0"/>
          <c:showPercent val="0"/>
          <c:showBubbleSize val="0"/>
        </c:dLbls>
        <c:marker val="1"/>
        <c:smooth val="0"/>
        <c:axId val="176807936"/>
        <c:axId val="176809472"/>
      </c:lineChart>
      <c:catAx>
        <c:axId val="1768079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809472"/>
        <c:crosses val="autoZero"/>
        <c:auto val="1"/>
        <c:lblAlgn val="ctr"/>
        <c:lblOffset val="100"/>
        <c:noMultiLvlLbl val="0"/>
      </c:catAx>
      <c:valAx>
        <c:axId val="17680947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80793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 2016/2017</a:t>
            </a:r>
            <a:r>
              <a:rPr lang="zh-CN" altLang="zh-CN" sz="1100" b="1" i="0" u="none" strike="noStrike" baseline="0">
                <a:effectLst/>
                <a:latin typeface="+mn-ea"/>
                <a:ea typeface="+mn-ea"/>
              </a:rPr>
              <a:t>年度三大产棉区颜色级占比分布情况对比图</a:t>
            </a:r>
            <a:endParaRPr lang="zh-CN" altLang="en-US" sz="1100">
              <a:latin typeface="+mn-ea"/>
              <a:ea typeface="+mn-ea"/>
            </a:endParaRPr>
          </a:p>
        </c:rich>
      </c:tx>
      <c:layout>
        <c:manualLayout>
          <c:xMode val="edge"/>
          <c:yMode val="edge"/>
          <c:x val="0.169016112569262"/>
          <c:y val="0.928571428571429"/>
        </c:manualLayout>
      </c:layout>
      <c:overlay val="1"/>
    </c:title>
    <c:autoTitleDeleted val="0"/>
    <c:plotArea>
      <c:layout>
        <c:manualLayout>
          <c:layoutTarget val="inner"/>
          <c:xMode val="edge"/>
          <c:yMode val="edge"/>
          <c:x val="0.210612241178186"/>
          <c:y val="0.0440576177977753"/>
          <c:w val="0.763924795858851"/>
          <c:h val="0.593989700654507"/>
        </c:manualLayout>
      </c:layout>
      <c:barChart>
        <c:barDir val="col"/>
        <c:grouping val="percentStacked"/>
        <c:varyColors val="0"/>
        <c:ser>
          <c:idx val="0"/>
          <c:order val="0"/>
          <c:tx>
            <c:strRef>
              <c:f>Sheet1!$B$1</c:f>
              <c:strCache>
                <c:ptCount val="1"/>
                <c:pt idx="0">
                  <c:v>白棉占比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Sheet1!$B$2:$B$4</c:f>
              <c:numCache>
                <c:formatCode>0.00%</c:formatCode>
                <c:ptCount val="3"/>
                <c:pt idx="0">
                  <c:v>0.396871758040061</c:v>
                </c:pt>
                <c:pt idx="1">
                  <c:v>0.343714808958857</c:v>
                </c:pt>
                <c:pt idx="2">
                  <c:v>0.970432095353689</c:v>
                </c:pt>
              </c:numCache>
            </c:numRef>
          </c:val>
        </c:ser>
        <c:ser>
          <c:idx val="1"/>
          <c:order val="1"/>
          <c:tx>
            <c:strRef>
              <c:f>Sheet1!$C$1</c:f>
              <c:strCache>
                <c:ptCount val="1"/>
                <c:pt idx="0">
                  <c:v>淡点污棉占比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Sheet1!$C$2:$C$4</c:f>
              <c:numCache>
                <c:formatCode>0.00%</c:formatCode>
                <c:ptCount val="3"/>
                <c:pt idx="0">
                  <c:v>0.434761790758918</c:v>
                </c:pt>
                <c:pt idx="1">
                  <c:v>0.585056943923096</c:v>
                </c:pt>
                <c:pt idx="2">
                  <c:v>0.0230967349656399</c:v>
                </c:pt>
              </c:numCache>
            </c:numRef>
          </c:val>
        </c:ser>
        <c:ser>
          <c:idx val="2"/>
          <c:order val="2"/>
          <c:tx>
            <c:strRef>
              <c:f>Sheet1!$D$1</c:f>
              <c:strCache>
                <c:ptCount val="1"/>
                <c:pt idx="0">
                  <c:v>淡黄染棉占比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Sheet1!$D$2:$D$4</c:f>
              <c:numCache>
                <c:formatCode>0.00%</c:formatCode>
                <c:ptCount val="3"/>
                <c:pt idx="0">
                  <c:v>0.165142446732104</c:v>
                </c:pt>
                <c:pt idx="1">
                  <c:v>0.0673418291063008</c:v>
                </c:pt>
                <c:pt idx="2">
                  <c:v>0.00559301350564077</c:v>
                </c:pt>
              </c:numCache>
            </c:numRef>
          </c:val>
        </c:ser>
        <c:ser>
          <c:idx val="3"/>
          <c:order val="3"/>
          <c:tx>
            <c:strRef>
              <c:f>Sheet1!$E$1</c:f>
              <c:strCache>
                <c:ptCount val="1"/>
                <c:pt idx="0">
                  <c:v>黄染棉占比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Sheet1!$E$2:$E$4</c:f>
              <c:numCache>
                <c:formatCode>0.00%</c:formatCode>
                <c:ptCount val="3"/>
                <c:pt idx="0">
                  <c:v>0.00322400446891709</c:v>
                </c:pt>
                <c:pt idx="1">
                  <c:v>0.00388641801174646</c:v>
                </c:pt>
                <c:pt idx="2">
                  <c:v>0.000878156175030747</c:v>
                </c:pt>
              </c:numCache>
            </c:numRef>
          </c:val>
        </c:ser>
        <c:dLbls>
          <c:showLegendKey val="0"/>
          <c:showVal val="0"/>
          <c:showCatName val="0"/>
          <c:showSerName val="0"/>
          <c:showPercent val="0"/>
          <c:showBubbleSize val="0"/>
        </c:dLbls>
        <c:gapWidth val="95"/>
        <c:overlap val="100"/>
        <c:axId val="176829952"/>
        <c:axId val="176831488"/>
      </c:barChart>
      <c:catAx>
        <c:axId val="1768299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831488"/>
        <c:crosses val="autoZero"/>
        <c:auto val="1"/>
        <c:lblAlgn val="ctr"/>
        <c:lblOffset val="100"/>
        <c:noMultiLvlLbl val="0"/>
      </c:catAx>
      <c:valAx>
        <c:axId val="17683148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82995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3-1-1 2016/2017</a:t>
            </a:r>
            <a:r>
              <a:rPr lang="zh-CN" altLang="zh-CN" sz="1100" b="1" i="0" u="none" strike="noStrike" baseline="0">
                <a:effectLst/>
                <a:latin typeface="+mn-ea"/>
                <a:ea typeface="+mn-ea"/>
              </a:rPr>
              <a:t>年度长江流域棉区</a:t>
            </a:r>
            <a:r>
              <a:rPr lang="zh-CN" altLang="en-US" sz="1100" b="1" i="0" u="none" strike="noStrike" baseline="0">
                <a:effectLst/>
                <a:latin typeface="+mn-ea"/>
                <a:ea typeface="+mn-ea"/>
              </a:rPr>
              <a:t>颜色级占比分布图</a:t>
            </a:r>
            <a:endParaRPr lang="zh-CN" altLang="en-US" sz="1100">
              <a:latin typeface="+mn-ea"/>
              <a:ea typeface="+mn-ea"/>
            </a:endParaRPr>
          </a:p>
        </c:rich>
      </c:tx>
      <c:layout>
        <c:manualLayout>
          <c:xMode val="edge"/>
          <c:yMode val="edge"/>
          <c:x val="0.187175925925926"/>
          <c:y val="0.954692556634304"/>
        </c:manualLayout>
      </c:layout>
      <c:overlay val="1"/>
    </c:title>
    <c:autoTitleDeleted val="0"/>
    <c:plotArea>
      <c:layout>
        <c:manualLayout>
          <c:layoutTarget val="inner"/>
          <c:xMode val="edge"/>
          <c:yMode val="edge"/>
          <c:x val="0.199200204141149"/>
          <c:y val="0.0179652422088016"/>
          <c:w val="0.775336832895888"/>
          <c:h val="0.548302117575109"/>
        </c:manualLayout>
      </c:layout>
      <c:barChart>
        <c:barDir val="col"/>
        <c:grouping val="percentStacked"/>
        <c:varyColors val="0"/>
        <c:ser>
          <c:idx val="0"/>
          <c:order val="0"/>
          <c:tx>
            <c:strRef>
              <c:f>Sheet1!$B$1</c:f>
              <c:strCache>
                <c:ptCount val="1"/>
                <c:pt idx="0">
                  <c:v>白棉1级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Sheet1!$B$2:$B$6</c:f>
              <c:numCache>
                <c:formatCode>0.00%</c:formatCode>
                <c:ptCount val="5"/>
                <c:pt idx="0">
                  <c:v>0.011</c:v>
                </c:pt>
                <c:pt idx="1" c:formatCode="0.0%">
                  <c:v>0.072</c:v>
                </c:pt>
                <c:pt idx="2" c:formatCode="0.0%">
                  <c:v>0</c:v>
                </c:pt>
                <c:pt idx="3" c:formatCode="0.0%">
                  <c:v>0</c:v>
                </c:pt>
                <c:pt idx="4" c:formatCode="0.0%">
                  <c:v>0</c:v>
                </c:pt>
              </c:numCache>
            </c:numRef>
          </c:val>
        </c:ser>
        <c:ser>
          <c:idx val="1"/>
          <c:order val="1"/>
          <c:tx>
            <c:strRef>
              <c:f>Sheet1!$C$1</c:f>
              <c:strCache>
                <c:ptCount val="1"/>
                <c:pt idx="0">
                  <c:v>白棉2级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Sheet1!$C$2:$C$6</c:f>
              <c:numCache>
                <c:formatCode>0.00%</c:formatCode>
                <c:ptCount val="5"/>
                <c:pt idx="0">
                  <c:v>0.219</c:v>
                </c:pt>
                <c:pt idx="1" c:formatCode="0.0%">
                  <c:v>0.01</c:v>
                </c:pt>
                <c:pt idx="2" c:formatCode="0.0%">
                  <c:v>0</c:v>
                </c:pt>
                <c:pt idx="3" c:formatCode="0.0%">
                  <c:v>0.042</c:v>
                </c:pt>
                <c:pt idx="4" c:formatCode="0.0%">
                  <c:v>0</c:v>
                </c:pt>
              </c:numCache>
            </c:numRef>
          </c:val>
        </c:ser>
        <c:ser>
          <c:idx val="2"/>
          <c:order val="2"/>
          <c:tx>
            <c:strRef>
              <c:f>Sheet1!$D$1</c:f>
              <c:strCache>
                <c:ptCount val="1"/>
                <c:pt idx="0">
                  <c:v>白棉3级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Sheet1!$D$2:$D$6</c:f>
              <c:numCache>
                <c:formatCode>0.00%</c:formatCode>
                <c:ptCount val="5"/>
                <c:pt idx="0">
                  <c:v>0.633</c:v>
                </c:pt>
                <c:pt idx="1" c:formatCode="0.0%">
                  <c:v>0.111</c:v>
                </c:pt>
                <c:pt idx="2" c:formatCode="0.0%">
                  <c:v>0</c:v>
                </c:pt>
                <c:pt idx="3" c:formatCode="0.0%">
                  <c:v>0.142</c:v>
                </c:pt>
                <c:pt idx="4" c:formatCode="0.0%">
                  <c:v>0.003</c:v>
                </c:pt>
              </c:numCache>
            </c:numRef>
          </c:val>
        </c:ser>
        <c:ser>
          <c:idx val="3"/>
          <c:order val="3"/>
          <c:tx>
            <c:strRef>
              <c:f>Sheet1!$E$1</c:f>
              <c:strCache>
                <c:ptCount val="1"/>
                <c:pt idx="0">
                  <c:v>白棉4级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Sheet1!$E$2:$E$6</c:f>
              <c:numCache>
                <c:formatCode>0.00%</c:formatCode>
                <c:ptCount val="5"/>
                <c:pt idx="0">
                  <c:v>0.084</c:v>
                </c:pt>
                <c:pt idx="1" c:formatCode="0.0%">
                  <c:v>0.034</c:v>
                </c:pt>
                <c:pt idx="2" c:formatCode="0.0%">
                  <c:v>0.048</c:v>
                </c:pt>
                <c:pt idx="3" c:formatCode="0.0%">
                  <c:v>0.117</c:v>
                </c:pt>
                <c:pt idx="4" c:formatCode="0.0%">
                  <c:v>0.205</c:v>
                </c:pt>
              </c:numCache>
            </c:numRef>
          </c:val>
        </c:ser>
        <c:ser>
          <c:idx val="4"/>
          <c:order val="4"/>
          <c:tx>
            <c:strRef>
              <c:f>Sheet1!$F$1</c:f>
              <c:strCache>
                <c:ptCount val="1"/>
                <c:pt idx="0">
                  <c:v>白棉5级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Sheet1!$F$2:$F$6</c:f>
              <c:numCache>
                <c:formatCode>0.00%</c:formatCode>
                <c:ptCount val="5"/>
                <c:pt idx="0">
                  <c:v>0.001</c:v>
                </c:pt>
                <c:pt idx="1" c:formatCode="0.0%">
                  <c:v>0.013</c:v>
                </c:pt>
                <c:pt idx="2" c:formatCode="0.0%">
                  <c:v>0.02</c:v>
                </c:pt>
                <c:pt idx="3" c:formatCode="0.0%">
                  <c:v>0.001</c:v>
                </c:pt>
                <c:pt idx="4" c:formatCode="0.0%">
                  <c:v>0.005</c:v>
                </c:pt>
              </c:numCache>
            </c:numRef>
          </c:val>
        </c:ser>
        <c:ser>
          <c:idx val="5"/>
          <c:order val="5"/>
          <c:tx>
            <c:strRef>
              <c:f>Sheet1!$G$1</c:f>
              <c:strCache>
                <c:ptCount val="1"/>
                <c:pt idx="0">
                  <c:v>淡点污棉1级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Sheet1!$G$2:$G$6</c:f>
              <c:numCache>
                <c:formatCode>0.00%</c:formatCode>
                <c:ptCount val="5"/>
                <c:pt idx="0">
                  <c:v>0.015</c:v>
                </c:pt>
                <c:pt idx="1" c:formatCode="0.0%">
                  <c:v>0.145</c:v>
                </c:pt>
                <c:pt idx="2" c:formatCode="0.0%">
                  <c:v>0.001</c:v>
                </c:pt>
                <c:pt idx="3" c:formatCode="0.0%">
                  <c:v>0.072</c:v>
                </c:pt>
                <c:pt idx="4" c:formatCode="0.0%">
                  <c:v>0.001</c:v>
                </c:pt>
              </c:numCache>
            </c:numRef>
          </c:val>
        </c:ser>
        <c:ser>
          <c:idx val="6"/>
          <c:order val="6"/>
          <c:tx>
            <c:strRef>
              <c:f>Sheet1!$H$1</c:f>
              <c:strCache>
                <c:ptCount val="1"/>
                <c:pt idx="0">
                  <c:v>淡点污棉2级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Sheet1!$H$2:$H$6</c:f>
              <c:numCache>
                <c:formatCode>0.00%</c:formatCode>
                <c:ptCount val="5"/>
                <c:pt idx="0">
                  <c:v>0.018</c:v>
                </c:pt>
                <c:pt idx="1" c:formatCode="0.0%">
                  <c:v>0.087</c:v>
                </c:pt>
                <c:pt idx="2" c:formatCode="0.0%">
                  <c:v>0.047</c:v>
                </c:pt>
                <c:pt idx="3" c:formatCode="0.0%">
                  <c:v>0.126</c:v>
                </c:pt>
                <c:pt idx="4" c:formatCode="0.0%">
                  <c:v>0.071</c:v>
                </c:pt>
              </c:numCache>
            </c:numRef>
          </c:val>
        </c:ser>
        <c:ser>
          <c:idx val="7"/>
          <c:order val="7"/>
          <c:tx>
            <c:strRef>
              <c:f>Sheet1!$I$1</c:f>
              <c:strCache>
                <c:ptCount val="1"/>
                <c:pt idx="0">
                  <c:v>淡点污棉3级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Sheet1!$I$2:$I$6</c:f>
              <c:numCache>
                <c:formatCode>0.00%</c:formatCode>
                <c:ptCount val="5"/>
                <c:pt idx="0">
                  <c:v>0.01</c:v>
                </c:pt>
                <c:pt idx="1" c:formatCode="0.0%">
                  <c:v>0.467</c:v>
                </c:pt>
                <c:pt idx="2" c:formatCode="0.0%">
                  <c:v>0.756</c:v>
                </c:pt>
                <c:pt idx="3" c:formatCode="0.0%">
                  <c:v>0.362</c:v>
                </c:pt>
                <c:pt idx="4" c:formatCode="0.0%">
                  <c:v>0.684</c:v>
                </c:pt>
              </c:numCache>
            </c:numRef>
          </c:val>
        </c:ser>
        <c:ser>
          <c:idx val="8"/>
          <c:order val="8"/>
          <c:tx>
            <c:strRef>
              <c:f>Sheet1!$J$1</c:f>
              <c:strCache>
                <c:ptCount val="1"/>
                <c:pt idx="0">
                  <c:v>淡黄染棉1级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Sheet1!$J$2:$J$6</c:f>
              <c:numCache>
                <c:formatCode>0.00%</c:formatCode>
                <c:ptCount val="5"/>
                <c:pt idx="0">
                  <c:v>0.002</c:v>
                </c:pt>
                <c:pt idx="1" c:formatCode="0.0%">
                  <c:v>0.043</c:v>
                </c:pt>
                <c:pt idx="2" c:formatCode="0.0%">
                  <c:v>0</c:v>
                </c:pt>
                <c:pt idx="3" c:formatCode="0.0%">
                  <c:v>0.009</c:v>
                </c:pt>
                <c:pt idx="4" c:formatCode="0.0%">
                  <c:v>0</c:v>
                </c:pt>
              </c:numCache>
            </c:numRef>
          </c:val>
        </c:ser>
        <c:ser>
          <c:idx val="9"/>
          <c:order val="9"/>
          <c:tx>
            <c:strRef>
              <c:f>Sheet1!$K$1</c:f>
              <c:strCache>
                <c:ptCount val="1"/>
                <c:pt idx="0">
                  <c:v>淡黄染棉2级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Sheet1!$K$2:$K$6</c:f>
              <c:numCache>
                <c:formatCode>0.00%</c:formatCode>
                <c:ptCount val="5"/>
                <c:pt idx="0">
                  <c:v>0.003</c:v>
                </c:pt>
                <c:pt idx="1" c:formatCode="0.0%">
                  <c:v>0.003</c:v>
                </c:pt>
                <c:pt idx="2" c:formatCode="0.0%">
                  <c:v>0.002</c:v>
                </c:pt>
                <c:pt idx="3" c:formatCode="0.0%">
                  <c:v>0.026</c:v>
                </c:pt>
                <c:pt idx="4" c:formatCode="0.0%">
                  <c:v>0.003</c:v>
                </c:pt>
              </c:numCache>
            </c:numRef>
          </c:val>
        </c:ser>
        <c:ser>
          <c:idx val="10"/>
          <c:order val="10"/>
          <c:tx>
            <c:strRef>
              <c:f>Sheet1!$L$1</c:f>
              <c:strCache>
                <c:ptCount val="1"/>
                <c:pt idx="0">
                  <c:v>淡黄染棉3级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Sheet1!$L$2:$L$6</c:f>
              <c:numCache>
                <c:formatCode>0.00%</c:formatCode>
                <c:ptCount val="5"/>
                <c:pt idx="0">
                  <c:v>0.005</c:v>
                </c:pt>
                <c:pt idx="1" c:formatCode="0.0%">
                  <c:v>0.015</c:v>
                </c:pt>
                <c:pt idx="2" c:formatCode="0.0%">
                  <c:v>0.119</c:v>
                </c:pt>
                <c:pt idx="3" c:formatCode="0.0%">
                  <c:v>0.101</c:v>
                </c:pt>
                <c:pt idx="4" c:formatCode="0.0%">
                  <c:v>0.027</c:v>
                </c:pt>
              </c:numCache>
            </c:numRef>
          </c:val>
        </c:ser>
        <c:ser>
          <c:idx val="11"/>
          <c:order val="11"/>
          <c:tx>
            <c:strRef>
              <c:f>Sheet1!$M$1</c:f>
              <c:strCache>
                <c:ptCount val="1"/>
                <c:pt idx="0">
                  <c:v>黄染棉1级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Sheet1!$M$2:$M$6</c:f>
              <c:numCache>
                <c:formatCode>0.00%</c:formatCode>
                <c:ptCount val="5"/>
                <c:pt idx="0">
                  <c:v>0</c:v>
                </c:pt>
                <c:pt idx="1" c:formatCode="0.0%">
                  <c:v>0</c:v>
                </c:pt>
                <c:pt idx="2" c:formatCode="0.0%">
                  <c:v>0</c:v>
                </c:pt>
                <c:pt idx="3" c:formatCode="0.0%">
                  <c:v>0</c:v>
                </c:pt>
                <c:pt idx="4" c:formatCode="0.0%">
                  <c:v>0</c:v>
                </c:pt>
              </c:numCache>
            </c:numRef>
          </c:val>
        </c:ser>
        <c:ser>
          <c:idx val="12"/>
          <c:order val="12"/>
          <c:tx>
            <c:strRef>
              <c:f>Sheet1!$N$1</c:f>
              <c:strCache>
                <c:ptCount val="1"/>
                <c:pt idx="0">
                  <c:v>黄染棉2级</c:v>
                </c:pt>
              </c:strCache>
            </c:strRef>
          </c:tx>
          <c:invertIfNegative val="0"/>
          <c:dLbls>
            <c:delete val="1"/>
          </c:dLbls>
          <c:cat>
            <c:strRef>
              <c:f>Sheet1!$A$2:$A$6</c:f>
              <c:strCache>
                <c:ptCount val="5"/>
                <c:pt idx="0">
                  <c:v>全国</c:v>
                </c:pt>
                <c:pt idx="1">
                  <c:v>江苏</c:v>
                </c:pt>
                <c:pt idx="2">
                  <c:v>安徽</c:v>
                </c:pt>
                <c:pt idx="3">
                  <c:v>湖北</c:v>
                </c:pt>
                <c:pt idx="4">
                  <c:v>湖南</c:v>
                </c:pt>
              </c:strCache>
            </c:strRef>
          </c:cat>
          <c:val>
            <c:numRef>
              <c:f>Sheet1!$N$2:$N$6</c:f>
              <c:numCache>
                <c:formatCode>0.00%</c:formatCode>
                <c:ptCount val="5"/>
                <c:pt idx="0">
                  <c:v>0.001</c:v>
                </c:pt>
                <c:pt idx="1" c:formatCode="0.0%">
                  <c:v>0</c:v>
                </c:pt>
                <c:pt idx="2" c:formatCode="0.0%">
                  <c:v>0.007</c:v>
                </c:pt>
                <c:pt idx="3" c:formatCode="0.0%">
                  <c:v>0.002</c:v>
                </c:pt>
                <c:pt idx="4" c:formatCode="0.0%">
                  <c:v>0</c:v>
                </c:pt>
              </c:numCache>
            </c:numRef>
          </c:val>
        </c:ser>
        <c:dLbls>
          <c:showLegendKey val="0"/>
          <c:showVal val="0"/>
          <c:showCatName val="0"/>
          <c:showSerName val="0"/>
          <c:showPercent val="0"/>
          <c:showBubbleSize val="0"/>
        </c:dLbls>
        <c:gapWidth val="95"/>
        <c:overlap val="100"/>
        <c:axId val="177022848"/>
        <c:axId val="177024384"/>
      </c:barChart>
      <c:catAx>
        <c:axId val="1770228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024384"/>
        <c:crosses val="autoZero"/>
        <c:auto val="1"/>
        <c:lblAlgn val="ctr"/>
        <c:lblOffset val="100"/>
        <c:noMultiLvlLbl val="0"/>
      </c:catAx>
      <c:valAx>
        <c:axId val="17702438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0228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3-1-2 2016/2017</a:t>
            </a:r>
            <a:r>
              <a:rPr lang="zh-CN" altLang="zh-CN" sz="1100" b="1" i="0" baseline="0">
                <a:effectLst/>
                <a:latin typeface="+mn-ea"/>
                <a:ea typeface="+mn-ea"/>
              </a:rPr>
              <a:t>年度</a:t>
            </a:r>
            <a:r>
              <a:rPr lang="zh-CN" altLang="en-US" sz="1100" b="1" i="0" baseline="0">
                <a:effectLst/>
                <a:latin typeface="+mn-ea"/>
                <a:ea typeface="+mn-ea"/>
              </a:rPr>
              <a:t>黄河</a:t>
            </a:r>
            <a:r>
              <a:rPr lang="zh-CN" altLang="zh-CN" sz="1100" b="1" i="0" baseline="0">
                <a:effectLst/>
                <a:latin typeface="+mn-ea"/>
                <a:ea typeface="+mn-ea"/>
              </a:rPr>
              <a:t>流域棉区颜色级占比分布图</a:t>
            </a:r>
            <a:endParaRPr lang="zh-CN" altLang="zh-CN" sz="1100">
              <a:effectLst/>
              <a:latin typeface="+mn-ea"/>
              <a:ea typeface="+mn-ea"/>
            </a:endParaRPr>
          </a:p>
        </c:rich>
      </c:tx>
      <c:layout>
        <c:manualLayout>
          <c:xMode val="edge"/>
          <c:yMode val="edge"/>
          <c:x val="0.185324074074074"/>
          <c:y val="0.954890219560878"/>
        </c:manualLayout>
      </c:layout>
      <c:overlay val="1"/>
    </c:title>
    <c:autoTitleDeleted val="0"/>
    <c:plotArea>
      <c:layout>
        <c:manualLayout>
          <c:layoutTarget val="inner"/>
          <c:xMode val="edge"/>
          <c:yMode val="edge"/>
          <c:x val="0.199200204141149"/>
          <c:y val="0.0177285743473683"/>
          <c:w val="0.775336832895888"/>
          <c:h val="0.557446241375517"/>
        </c:manualLayout>
      </c:layout>
      <c:barChart>
        <c:barDir val="col"/>
        <c:grouping val="percentStacked"/>
        <c:varyColors val="0"/>
        <c:ser>
          <c:idx val="0"/>
          <c:order val="0"/>
          <c:tx>
            <c:strRef>
              <c:f>Sheet1!$B$1</c:f>
              <c:strCache>
                <c:ptCount val="1"/>
                <c:pt idx="0">
                  <c:v>白棉1级</c:v>
                </c:pt>
              </c:strCache>
            </c:strRef>
          </c:tx>
          <c:invertIfNegative val="0"/>
          <c:dLbls>
            <c:delete val="1"/>
          </c:dLbls>
          <c:cat>
            <c:strRef>
              <c:f>Sheet1!$A$2:$A$5</c:f>
              <c:strCache>
                <c:ptCount val="4"/>
                <c:pt idx="0">
                  <c:v>全国</c:v>
                </c:pt>
                <c:pt idx="1">
                  <c:v>天津</c:v>
                </c:pt>
                <c:pt idx="2">
                  <c:v>河北</c:v>
                </c:pt>
                <c:pt idx="3">
                  <c:v>山东</c:v>
                </c:pt>
              </c:strCache>
            </c:strRef>
          </c:cat>
          <c:val>
            <c:numRef>
              <c:f>Sheet1!$B$2:$B$5</c:f>
              <c:numCache>
                <c:formatCode>0.0%</c:formatCode>
                <c:ptCount val="4"/>
                <c:pt idx="0">
                  <c:v>0.011</c:v>
                </c:pt>
                <c:pt idx="1">
                  <c:v>0</c:v>
                </c:pt>
                <c:pt idx="2">
                  <c:v>0</c:v>
                </c:pt>
                <c:pt idx="3">
                  <c:v>0</c:v>
                </c:pt>
              </c:numCache>
            </c:numRef>
          </c:val>
        </c:ser>
        <c:ser>
          <c:idx val="1"/>
          <c:order val="1"/>
          <c:tx>
            <c:strRef>
              <c:f>Sheet1!$C$1</c:f>
              <c:strCache>
                <c:ptCount val="1"/>
                <c:pt idx="0">
                  <c:v>白棉2级</c:v>
                </c:pt>
              </c:strCache>
            </c:strRef>
          </c:tx>
          <c:invertIfNegative val="0"/>
          <c:dLbls>
            <c:delete val="1"/>
          </c:dLbls>
          <c:cat>
            <c:strRef>
              <c:f>Sheet1!$A$2:$A$5</c:f>
              <c:strCache>
                <c:ptCount val="4"/>
                <c:pt idx="0">
                  <c:v>全国</c:v>
                </c:pt>
                <c:pt idx="1">
                  <c:v>天津</c:v>
                </c:pt>
                <c:pt idx="2">
                  <c:v>河北</c:v>
                </c:pt>
                <c:pt idx="3">
                  <c:v>山东</c:v>
                </c:pt>
              </c:strCache>
            </c:strRef>
          </c:cat>
          <c:val>
            <c:numRef>
              <c:f>Sheet1!$C$2:$C$5</c:f>
              <c:numCache>
                <c:formatCode>0.0%</c:formatCode>
                <c:ptCount val="4"/>
                <c:pt idx="0">
                  <c:v>0.219</c:v>
                </c:pt>
                <c:pt idx="1">
                  <c:v>0</c:v>
                </c:pt>
                <c:pt idx="2">
                  <c:v>0.005</c:v>
                </c:pt>
                <c:pt idx="3">
                  <c:v>0.003</c:v>
                </c:pt>
              </c:numCache>
            </c:numRef>
          </c:val>
        </c:ser>
        <c:ser>
          <c:idx val="2"/>
          <c:order val="2"/>
          <c:tx>
            <c:strRef>
              <c:f>Sheet1!$D$1</c:f>
              <c:strCache>
                <c:ptCount val="1"/>
                <c:pt idx="0">
                  <c:v>白棉3级</c:v>
                </c:pt>
              </c:strCache>
            </c:strRef>
          </c:tx>
          <c:invertIfNegative val="0"/>
          <c:dLbls>
            <c:delete val="1"/>
          </c:dLbls>
          <c:cat>
            <c:strRef>
              <c:f>Sheet1!$A$2:$A$5</c:f>
              <c:strCache>
                <c:ptCount val="4"/>
                <c:pt idx="0">
                  <c:v>全国</c:v>
                </c:pt>
                <c:pt idx="1">
                  <c:v>天津</c:v>
                </c:pt>
                <c:pt idx="2">
                  <c:v>河北</c:v>
                </c:pt>
                <c:pt idx="3">
                  <c:v>山东</c:v>
                </c:pt>
              </c:strCache>
            </c:strRef>
          </c:cat>
          <c:val>
            <c:numRef>
              <c:f>Sheet1!$D$2:$D$5</c:f>
              <c:numCache>
                <c:formatCode>0.0%</c:formatCode>
                <c:ptCount val="4"/>
                <c:pt idx="0">
                  <c:v>0.633</c:v>
                </c:pt>
                <c:pt idx="1">
                  <c:v>0.21</c:v>
                </c:pt>
                <c:pt idx="2">
                  <c:v>0.297</c:v>
                </c:pt>
                <c:pt idx="3">
                  <c:v>0.355</c:v>
                </c:pt>
              </c:numCache>
            </c:numRef>
          </c:val>
        </c:ser>
        <c:ser>
          <c:idx val="3"/>
          <c:order val="3"/>
          <c:tx>
            <c:strRef>
              <c:f>Sheet1!$E$1</c:f>
              <c:strCache>
                <c:ptCount val="1"/>
                <c:pt idx="0">
                  <c:v>白棉4级</c:v>
                </c:pt>
              </c:strCache>
            </c:strRef>
          </c:tx>
          <c:invertIfNegative val="0"/>
          <c:dLbls>
            <c:delete val="1"/>
          </c:dLbls>
          <c:cat>
            <c:strRef>
              <c:f>Sheet1!$A$2:$A$5</c:f>
              <c:strCache>
                <c:ptCount val="4"/>
                <c:pt idx="0">
                  <c:v>全国</c:v>
                </c:pt>
                <c:pt idx="1">
                  <c:v>天津</c:v>
                </c:pt>
                <c:pt idx="2">
                  <c:v>河北</c:v>
                </c:pt>
                <c:pt idx="3">
                  <c:v>山东</c:v>
                </c:pt>
              </c:strCache>
            </c:strRef>
          </c:cat>
          <c:val>
            <c:numRef>
              <c:f>Sheet1!$E$2:$E$5</c:f>
              <c:numCache>
                <c:formatCode>0.0%</c:formatCode>
                <c:ptCount val="4"/>
                <c:pt idx="0">
                  <c:v>0.084</c:v>
                </c:pt>
                <c:pt idx="1">
                  <c:v>0.686</c:v>
                </c:pt>
                <c:pt idx="2">
                  <c:v>0.154</c:v>
                </c:pt>
                <c:pt idx="3">
                  <c:v>0.041</c:v>
                </c:pt>
              </c:numCache>
            </c:numRef>
          </c:val>
        </c:ser>
        <c:ser>
          <c:idx val="4"/>
          <c:order val="4"/>
          <c:tx>
            <c:strRef>
              <c:f>Sheet1!$F$1</c:f>
              <c:strCache>
                <c:ptCount val="1"/>
                <c:pt idx="0">
                  <c:v>白棉5级</c:v>
                </c:pt>
              </c:strCache>
            </c:strRef>
          </c:tx>
          <c:invertIfNegative val="0"/>
          <c:dLbls>
            <c:delete val="1"/>
          </c:dLbls>
          <c:cat>
            <c:strRef>
              <c:f>Sheet1!$A$2:$A$5</c:f>
              <c:strCache>
                <c:ptCount val="4"/>
                <c:pt idx="0">
                  <c:v>全国</c:v>
                </c:pt>
                <c:pt idx="1">
                  <c:v>天津</c:v>
                </c:pt>
                <c:pt idx="2">
                  <c:v>河北</c:v>
                </c:pt>
                <c:pt idx="3">
                  <c:v>山东</c:v>
                </c:pt>
              </c:strCache>
            </c:strRef>
          </c:cat>
          <c:val>
            <c:numRef>
              <c:f>Sheet1!$F$2:$F$5</c:f>
              <c:numCache>
                <c:formatCode>0.0%</c:formatCode>
                <c:ptCount val="4"/>
                <c:pt idx="0">
                  <c:v>0.001</c:v>
                </c:pt>
                <c:pt idx="1">
                  <c:v>0</c:v>
                </c:pt>
                <c:pt idx="2">
                  <c:v>0.001</c:v>
                </c:pt>
                <c:pt idx="3">
                  <c:v>0.001</c:v>
                </c:pt>
              </c:numCache>
            </c:numRef>
          </c:val>
        </c:ser>
        <c:ser>
          <c:idx val="5"/>
          <c:order val="5"/>
          <c:tx>
            <c:strRef>
              <c:f>Sheet1!$G$1</c:f>
              <c:strCache>
                <c:ptCount val="1"/>
                <c:pt idx="0">
                  <c:v>淡点污棉1级</c:v>
                </c:pt>
              </c:strCache>
            </c:strRef>
          </c:tx>
          <c:invertIfNegative val="0"/>
          <c:dLbls>
            <c:delete val="1"/>
          </c:dLbls>
          <c:cat>
            <c:strRef>
              <c:f>Sheet1!$A$2:$A$5</c:f>
              <c:strCache>
                <c:ptCount val="4"/>
                <c:pt idx="0">
                  <c:v>全国</c:v>
                </c:pt>
                <c:pt idx="1">
                  <c:v>天津</c:v>
                </c:pt>
                <c:pt idx="2">
                  <c:v>河北</c:v>
                </c:pt>
                <c:pt idx="3">
                  <c:v>山东</c:v>
                </c:pt>
              </c:strCache>
            </c:strRef>
          </c:cat>
          <c:val>
            <c:numRef>
              <c:f>Sheet1!$G$2:$G$5</c:f>
              <c:numCache>
                <c:formatCode>0.0%</c:formatCode>
                <c:ptCount val="4"/>
                <c:pt idx="0">
                  <c:v>0.015</c:v>
                </c:pt>
                <c:pt idx="1">
                  <c:v>0.001</c:v>
                </c:pt>
                <c:pt idx="2">
                  <c:v>0.118</c:v>
                </c:pt>
                <c:pt idx="3">
                  <c:v>0.213</c:v>
                </c:pt>
              </c:numCache>
            </c:numRef>
          </c:val>
        </c:ser>
        <c:ser>
          <c:idx val="6"/>
          <c:order val="6"/>
          <c:tx>
            <c:strRef>
              <c:f>Sheet1!$H$1</c:f>
              <c:strCache>
                <c:ptCount val="1"/>
                <c:pt idx="0">
                  <c:v>淡点污棉2级</c:v>
                </c:pt>
              </c:strCache>
            </c:strRef>
          </c:tx>
          <c:invertIfNegative val="0"/>
          <c:dLbls>
            <c:delete val="1"/>
          </c:dLbls>
          <c:cat>
            <c:strRef>
              <c:f>Sheet1!$A$2:$A$5</c:f>
              <c:strCache>
                <c:ptCount val="4"/>
                <c:pt idx="0">
                  <c:v>全国</c:v>
                </c:pt>
                <c:pt idx="1">
                  <c:v>天津</c:v>
                </c:pt>
                <c:pt idx="2">
                  <c:v>河北</c:v>
                </c:pt>
                <c:pt idx="3">
                  <c:v>山东</c:v>
                </c:pt>
              </c:strCache>
            </c:strRef>
          </c:cat>
          <c:val>
            <c:numRef>
              <c:f>Sheet1!$H$2:$H$5</c:f>
              <c:numCache>
                <c:formatCode>0.0%</c:formatCode>
                <c:ptCount val="4"/>
                <c:pt idx="0">
                  <c:v>0.018</c:v>
                </c:pt>
                <c:pt idx="1">
                  <c:v>0.039</c:v>
                </c:pt>
                <c:pt idx="2">
                  <c:v>0.279</c:v>
                </c:pt>
                <c:pt idx="3">
                  <c:v>0.256</c:v>
                </c:pt>
              </c:numCache>
            </c:numRef>
          </c:val>
        </c:ser>
        <c:ser>
          <c:idx val="7"/>
          <c:order val="7"/>
          <c:tx>
            <c:strRef>
              <c:f>Sheet1!$I$1</c:f>
              <c:strCache>
                <c:ptCount val="1"/>
                <c:pt idx="0">
                  <c:v>淡点污棉3级</c:v>
                </c:pt>
              </c:strCache>
            </c:strRef>
          </c:tx>
          <c:invertIfNegative val="0"/>
          <c:dLbls>
            <c:delete val="1"/>
          </c:dLbls>
          <c:cat>
            <c:strRef>
              <c:f>Sheet1!$A$2:$A$5</c:f>
              <c:strCache>
                <c:ptCount val="4"/>
                <c:pt idx="0">
                  <c:v>全国</c:v>
                </c:pt>
                <c:pt idx="1">
                  <c:v>天津</c:v>
                </c:pt>
                <c:pt idx="2">
                  <c:v>河北</c:v>
                </c:pt>
                <c:pt idx="3">
                  <c:v>山东</c:v>
                </c:pt>
              </c:strCache>
            </c:strRef>
          </c:cat>
          <c:val>
            <c:numRef>
              <c:f>Sheet1!$I$2:$I$5</c:f>
              <c:numCache>
                <c:formatCode>0.0%</c:formatCode>
                <c:ptCount val="4"/>
                <c:pt idx="0">
                  <c:v>0.01</c:v>
                </c:pt>
                <c:pt idx="1">
                  <c:v>0.065</c:v>
                </c:pt>
                <c:pt idx="2">
                  <c:v>0.087</c:v>
                </c:pt>
                <c:pt idx="3">
                  <c:v>0.034</c:v>
                </c:pt>
              </c:numCache>
            </c:numRef>
          </c:val>
        </c:ser>
        <c:ser>
          <c:idx val="8"/>
          <c:order val="8"/>
          <c:tx>
            <c:strRef>
              <c:f>Sheet1!$J$1</c:f>
              <c:strCache>
                <c:ptCount val="1"/>
                <c:pt idx="0">
                  <c:v>淡黄染棉1级</c:v>
                </c:pt>
              </c:strCache>
            </c:strRef>
          </c:tx>
          <c:invertIfNegative val="0"/>
          <c:dLbls>
            <c:delete val="1"/>
          </c:dLbls>
          <c:cat>
            <c:strRef>
              <c:f>Sheet1!$A$2:$A$5</c:f>
              <c:strCache>
                <c:ptCount val="4"/>
                <c:pt idx="0">
                  <c:v>全国</c:v>
                </c:pt>
                <c:pt idx="1">
                  <c:v>天津</c:v>
                </c:pt>
                <c:pt idx="2">
                  <c:v>河北</c:v>
                </c:pt>
                <c:pt idx="3">
                  <c:v>山东</c:v>
                </c:pt>
              </c:strCache>
            </c:strRef>
          </c:cat>
          <c:val>
            <c:numRef>
              <c:f>Sheet1!$J$2:$J$5</c:f>
              <c:numCache>
                <c:formatCode>0.0%</c:formatCode>
                <c:ptCount val="4"/>
                <c:pt idx="0">
                  <c:v>0.002</c:v>
                </c:pt>
                <c:pt idx="1">
                  <c:v>0</c:v>
                </c:pt>
                <c:pt idx="2">
                  <c:v>0.007</c:v>
                </c:pt>
                <c:pt idx="3">
                  <c:v>0.03</c:v>
                </c:pt>
              </c:numCache>
            </c:numRef>
          </c:val>
        </c:ser>
        <c:ser>
          <c:idx val="9"/>
          <c:order val="9"/>
          <c:tx>
            <c:strRef>
              <c:f>Sheet1!$K$1</c:f>
              <c:strCache>
                <c:ptCount val="1"/>
                <c:pt idx="0">
                  <c:v>淡黄染棉2级</c:v>
                </c:pt>
              </c:strCache>
            </c:strRef>
          </c:tx>
          <c:invertIfNegative val="0"/>
          <c:dLbls>
            <c:delete val="1"/>
          </c:dLbls>
          <c:cat>
            <c:strRef>
              <c:f>Sheet1!$A$2:$A$5</c:f>
              <c:strCache>
                <c:ptCount val="4"/>
                <c:pt idx="0">
                  <c:v>全国</c:v>
                </c:pt>
                <c:pt idx="1">
                  <c:v>天津</c:v>
                </c:pt>
                <c:pt idx="2">
                  <c:v>河北</c:v>
                </c:pt>
                <c:pt idx="3">
                  <c:v>山东</c:v>
                </c:pt>
              </c:strCache>
            </c:strRef>
          </c:cat>
          <c:val>
            <c:numRef>
              <c:f>Sheet1!$K$2:$K$5</c:f>
              <c:numCache>
                <c:formatCode>0.0%</c:formatCode>
                <c:ptCount val="4"/>
                <c:pt idx="0">
                  <c:v>0.003</c:v>
                </c:pt>
                <c:pt idx="1">
                  <c:v>0</c:v>
                </c:pt>
                <c:pt idx="2">
                  <c:v>0.02</c:v>
                </c:pt>
                <c:pt idx="3">
                  <c:v>0.036</c:v>
                </c:pt>
              </c:numCache>
            </c:numRef>
          </c:val>
        </c:ser>
        <c:ser>
          <c:idx val="10"/>
          <c:order val="10"/>
          <c:tx>
            <c:strRef>
              <c:f>Sheet1!$L$1</c:f>
              <c:strCache>
                <c:ptCount val="1"/>
                <c:pt idx="0">
                  <c:v>淡黄染棉3级</c:v>
                </c:pt>
              </c:strCache>
            </c:strRef>
          </c:tx>
          <c:invertIfNegative val="0"/>
          <c:dLbls>
            <c:delete val="1"/>
          </c:dLbls>
          <c:cat>
            <c:strRef>
              <c:f>Sheet1!$A$2:$A$5</c:f>
              <c:strCache>
                <c:ptCount val="4"/>
                <c:pt idx="0">
                  <c:v>全国</c:v>
                </c:pt>
                <c:pt idx="1">
                  <c:v>天津</c:v>
                </c:pt>
                <c:pt idx="2">
                  <c:v>河北</c:v>
                </c:pt>
                <c:pt idx="3">
                  <c:v>山东</c:v>
                </c:pt>
              </c:strCache>
            </c:strRef>
          </c:cat>
          <c:val>
            <c:numRef>
              <c:f>Sheet1!$L$2:$L$5</c:f>
              <c:numCache>
                <c:formatCode>0.0%</c:formatCode>
                <c:ptCount val="4"/>
                <c:pt idx="0">
                  <c:v>0.005</c:v>
                </c:pt>
                <c:pt idx="1">
                  <c:v>0</c:v>
                </c:pt>
                <c:pt idx="2">
                  <c:v>0.031</c:v>
                </c:pt>
                <c:pt idx="3">
                  <c:v>0.024</c:v>
                </c:pt>
              </c:numCache>
            </c:numRef>
          </c:val>
        </c:ser>
        <c:ser>
          <c:idx val="11"/>
          <c:order val="11"/>
          <c:tx>
            <c:strRef>
              <c:f>Sheet1!$M$1</c:f>
              <c:strCache>
                <c:ptCount val="1"/>
                <c:pt idx="0">
                  <c:v>黄染棉1级</c:v>
                </c:pt>
              </c:strCache>
            </c:strRef>
          </c:tx>
          <c:invertIfNegative val="0"/>
          <c:dLbls>
            <c:delete val="1"/>
          </c:dLbls>
          <c:cat>
            <c:strRef>
              <c:f>Sheet1!$A$2:$A$5</c:f>
              <c:strCache>
                <c:ptCount val="4"/>
                <c:pt idx="0">
                  <c:v>全国</c:v>
                </c:pt>
                <c:pt idx="1">
                  <c:v>天津</c:v>
                </c:pt>
                <c:pt idx="2">
                  <c:v>河北</c:v>
                </c:pt>
                <c:pt idx="3">
                  <c:v>山东</c:v>
                </c:pt>
              </c:strCache>
            </c:strRef>
          </c:cat>
          <c:val>
            <c:numRef>
              <c:f>Sheet1!$M$2:$M$5</c:f>
              <c:numCache>
                <c:formatCode>0.0%</c:formatCode>
                <c:ptCount val="4"/>
                <c:pt idx="0">
                  <c:v>0</c:v>
                </c:pt>
                <c:pt idx="1">
                  <c:v>0</c:v>
                </c:pt>
                <c:pt idx="2">
                  <c:v>0</c:v>
                </c:pt>
                <c:pt idx="3">
                  <c:v>0</c:v>
                </c:pt>
              </c:numCache>
            </c:numRef>
          </c:val>
        </c:ser>
        <c:ser>
          <c:idx val="12"/>
          <c:order val="12"/>
          <c:tx>
            <c:strRef>
              <c:f>Sheet1!$N$1</c:f>
              <c:strCache>
                <c:ptCount val="1"/>
                <c:pt idx="0">
                  <c:v>黄染棉2级</c:v>
                </c:pt>
              </c:strCache>
            </c:strRef>
          </c:tx>
          <c:invertIfNegative val="0"/>
          <c:dLbls>
            <c:delete val="1"/>
          </c:dLbls>
          <c:cat>
            <c:strRef>
              <c:f>Sheet1!$A$2:$A$5</c:f>
              <c:strCache>
                <c:ptCount val="4"/>
                <c:pt idx="0">
                  <c:v>全国</c:v>
                </c:pt>
                <c:pt idx="1">
                  <c:v>天津</c:v>
                </c:pt>
                <c:pt idx="2">
                  <c:v>河北</c:v>
                </c:pt>
                <c:pt idx="3">
                  <c:v>山东</c:v>
                </c:pt>
              </c:strCache>
            </c:strRef>
          </c:cat>
          <c:val>
            <c:numRef>
              <c:f>Sheet1!$N$2:$N$5</c:f>
              <c:numCache>
                <c:formatCode>0.0%</c:formatCode>
                <c:ptCount val="4"/>
                <c:pt idx="0">
                  <c:v>0.001</c:v>
                </c:pt>
                <c:pt idx="1">
                  <c:v>0</c:v>
                </c:pt>
                <c:pt idx="2">
                  <c:v>0</c:v>
                </c:pt>
                <c:pt idx="3">
                  <c:v>0.006</c:v>
                </c:pt>
              </c:numCache>
            </c:numRef>
          </c:val>
        </c:ser>
        <c:dLbls>
          <c:showLegendKey val="0"/>
          <c:showVal val="0"/>
          <c:showCatName val="0"/>
          <c:showSerName val="0"/>
          <c:showPercent val="0"/>
          <c:showBubbleSize val="0"/>
        </c:dLbls>
        <c:gapWidth val="95"/>
        <c:overlap val="100"/>
        <c:axId val="177060096"/>
        <c:axId val="177065984"/>
      </c:barChart>
      <c:catAx>
        <c:axId val="1770600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065984"/>
        <c:crosses val="autoZero"/>
        <c:auto val="1"/>
        <c:lblAlgn val="ctr"/>
        <c:lblOffset val="100"/>
        <c:noMultiLvlLbl val="0"/>
      </c:catAx>
      <c:valAx>
        <c:axId val="17706598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06009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1631</Words>
  <Characters>9303</Characters>
  <Lines>77</Lines>
  <Paragraphs>21</Paragraphs>
  <TotalTime>0</TotalTime>
  <ScaleCrop>false</ScaleCrop>
  <LinksUpToDate>false</LinksUpToDate>
  <CharactersWithSpaces>10913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2016-10-26T06:07:00Z</dcterms:created>
  <dc:creator>lengyijin</dc:creator>
  <cp:lastModifiedBy>lengyijin</cp:lastModifiedBy>
  <cp:lastPrinted>2017-10-23T01:24:00Z</cp:lastPrinted>
  <dcterms:modified xsi:type="dcterms:W3CDTF">2017-10-23T03:19:09Z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